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0AEB" w14:textId="0AA832B7" w:rsidR="00AA53DE" w:rsidRDefault="00AA53DE" w:rsidP="00EB4547">
      <w:pPr>
        <w:ind w:firstLine="708"/>
      </w:pPr>
      <w:r>
        <w:t>(цезий свинец бром 3)</w:t>
      </w:r>
    </w:p>
    <w:p w14:paraId="5C865B0A" w14:textId="56477CB5" w:rsidR="00FE35BF" w:rsidRDefault="00914B83" w:rsidP="00EB4547">
      <w:pPr>
        <w:ind w:firstLine="708"/>
      </w:pPr>
      <w:r>
        <w:t xml:space="preserve">Межзерновые границы играют очень важную роль в определении оптоэлектронных свойств перовскитов, что требует атомического понимания лежащих в их основе механизмов. Недавно в </w:t>
      </w:r>
      <w:proofErr w:type="spellStart"/>
      <w:r>
        <w:t>перовскитных</w:t>
      </w:r>
      <w:proofErr w:type="spellEnd"/>
      <w:r>
        <w:t xml:space="preserve"> солнечных элементах была применена технология деформирования, позволяющая по-новому взглянуть на роль </w:t>
      </w:r>
      <w:proofErr w:type="spellStart"/>
      <w:r>
        <w:t>перовскитных</w:t>
      </w:r>
      <w:proofErr w:type="spellEnd"/>
      <w:r w:rsidR="00EB4547">
        <w:t xml:space="preserve"> материалов с </w:t>
      </w:r>
      <w:proofErr w:type="spellStart"/>
      <w:r w:rsidR="00EB4547">
        <w:t>межзереннной</w:t>
      </w:r>
      <w:proofErr w:type="spellEnd"/>
      <w:r w:rsidR="00EB4547">
        <w:t xml:space="preserve"> границей.</w:t>
      </w:r>
    </w:p>
    <w:p w14:paraId="4A9D7BC9" w14:textId="56EAB03E" w:rsidR="00EB4547" w:rsidRDefault="00DA5FE9" w:rsidP="008A32E0">
      <w:pPr>
        <w:pBdr>
          <w:bottom w:val="single" w:sz="6" w:space="1" w:color="auto"/>
        </w:pBdr>
      </w:pPr>
      <w:r>
        <w:tab/>
      </w:r>
      <w:proofErr w:type="spellStart"/>
      <w:r>
        <w:t>Металлогалогенидные</w:t>
      </w:r>
      <w:proofErr w:type="spellEnd"/>
      <w:r>
        <w:t xml:space="preserve"> (соединение металла и галогена) перовскиты являются многообещающими кандидатами для солнечных элементов </w:t>
      </w:r>
      <w:proofErr w:type="spellStart"/>
      <w:r>
        <w:t>следущего</w:t>
      </w:r>
      <w:proofErr w:type="spellEnd"/>
      <w:r>
        <w:t xml:space="preserve"> поколения </w:t>
      </w:r>
      <w:r w:rsidRPr="00DA5FE9">
        <w:t>благодаря своим превосходным оптоэлектронным свойствам</w:t>
      </w:r>
      <w:r>
        <w:t xml:space="preserve">. Рекордная эффективность преобразования энергии солнечных элементов на основе </w:t>
      </w:r>
      <w:proofErr w:type="spellStart"/>
      <w:r>
        <w:t>Металлгалогенидных</w:t>
      </w:r>
      <w:proofErr w:type="spellEnd"/>
      <w:r>
        <w:t xml:space="preserve"> перовскитов (МГП) быстро выросла с 3,8% в 2009 году до 26,1% сегодня, близкого к рекордному показателю солнечных элементов на основе кремния (28%). Также на основе </w:t>
      </w:r>
      <w:proofErr w:type="spellStart"/>
      <w:r>
        <w:t>смешания</w:t>
      </w:r>
      <w:proofErr w:type="spellEnd"/>
      <w:r>
        <w:t xml:space="preserve"> </w:t>
      </w:r>
      <w:proofErr w:type="spellStart"/>
      <w:r>
        <w:t>перовскитных</w:t>
      </w:r>
      <w:proofErr w:type="spellEnd"/>
      <w:r>
        <w:t xml:space="preserve"> и кремневых технологий получилось </w:t>
      </w:r>
      <w:proofErr w:type="spellStart"/>
      <w:r>
        <w:t>достич</w:t>
      </w:r>
      <w:proofErr w:type="spellEnd"/>
      <w:r>
        <w:t xml:space="preserve"> показателя в 33,5%. Для дальнейшего улучшения необходимо рассматривать области </w:t>
      </w:r>
      <w:proofErr w:type="spellStart"/>
      <w:r>
        <w:t>структрных</w:t>
      </w:r>
      <w:proofErr w:type="spellEnd"/>
      <w:r>
        <w:t xml:space="preserve"> дефектов, </w:t>
      </w:r>
      <w:proofErr w:type="spellStart"/>
      <w:r>
        <w:t>коотрые</w:t>
      </w:r>
      <w:proofErr w:type="spellEnd"/>
      <w:r>
        <w:t xml:space="preserve"> служат центрами рекомбинации носителей. </w:t>
      </w:r>
      <w:r w:rsidR="008A32E0">
        <w:t xml:space="preserve">Несмотря на то, что МГП структуры не сильно подвержены образованию дефектов, мы </w:t>
      </w:r>
      <w:proofErr w:type="spellStart"/>
      <w:r w:rsidR="008A32E0">
        <w:t>попрежнему</w:t>
      </w:r>
      <w:proofErr w:type="spellEnd"/>
      <w:r w:rsidR="008A32E0">
        <w:t xml:space="preserve"> наблюдаем рекомбинацию носителей на границах зерен. </w:t>
      </w:r>
      <w:proofErr w:type="gramStart"/>
      <w:r w:rsidR="008A32E0">
        <w:t>Кроме того</w:t>
      </w:r>
      <w:proofErr w:type="gramEnd"/>
      <w:r w:rsidR="008A32E0">
        <w:t xml:space="preserve"> мы предполагаем, что данные границы способствуют миграции ионов, что приводит к проблемам со стабильность. В настоящее время предлагается большое количество способов противодействия данным явлениям (</w:t>
      </w:r>
      <w:r w:rsidR="008A32E0" w:rsidRPr="008A32E0">
        <w:t>увеличение размера зерен для уменьшения плотности</w:t>
      </w:r>
      <w:r w:rsidR="008A32E0">
        <w:t xml:space="preserve"> </w:t>
      </w:r>
      <w:proofErr w:type="spellStart"/>
      <w:r w:rsidR="008A32E0">
        <w:t>межзерновых</w:t>
      </w:r>
      <w:proofErr w:type="spellEnd"/>
      <w:r w:rsidR="008A32E0">
        <w:t xml:space="preserve"> границ, насыщение оборванных связей на границах), однако до сих пор остается неясным механизм влияния </w:t>
      </w:r>
      <w:proofErr w:type="spellStart"/>
      <w:r w:rsidR="008A32E0">
        <w:t>межзеренных</w:t>
      </w:r>
      <w:proofErr w:type="spellEnd"/>
      <w:r w:rsidR="008A32E0">
        <w:t xml:space="preserve"> границ на производительность МГП батарей. </w:t>
      </w:r>
    </w:p>
    <w:p w14:paraId="022E2C4A" w14:textId="37B4495E" w:rsidR="00EE0C9C" w:rsidRDefault="00EE0C9C" w:rsidP="008A32E0">
      <w:r>
        <w:tab/>
        <w:t xml:space="preserve">На рисунке </w:t>
      </w:r>
      <w:r w:rsidRPr="00EE0C9C">
        <w:t>(</w:t>
      </w:r>
      <w:r>
        <w:rPr>
          <w:lang w:val="en-US"/>
        </w:rPr>
        <w:t>a</w:t>
      </w:r>
      <w:r w:rsidRPr="00EE0C9C">
        <w:t>)</w:t>
      </w:r>
      <w:r>
        <w:t xml:space="preserve"> показана структура готовой модели </w:t>
      </w:r>
      <w:proofErr w:type="spellStart"/>
      <w:r>
        <w:rPr>
          <w:lang w:val="en-US"/>
        </w:rPr>
        <w:t>CsPbBr</w:t>
      </w:r>
      <w:proofErr w:type="spellEnd"/>
      <w:r w:rsidRPr="00EE0C9C">
        <w:rPr>
          <w:vertAlign w:val="subscript"/>
        </w:rPr>
        <w:t>3</w:t>
      </w:r>
      <w:r>
        <w:t xml:space="preserve">. </w:t>
      </w:r>
      <w:r w:rsidR="00E4307F">
        <w:t xml:space="preserve">Данная система находится в метастабильном состоянии, что приводит к самопроизвольному смещению по вертикали в течении всего нескольких пикосекунд. Кроме того, скольжение изменяет </w:t>
      </w:r>
      <w:proofErr w:type="spellStart"/>
      <w:r w:rsidR="00E4307F">
        <w:t>взаимосдействе</w:t>
      </w:r>
      <w:proofErr w:type="spellEnd"/>
      <w:r w:rsidR="00E4307F">
        <w:t xml:space="preserve"> между боковыми зернами, нарушая исходную равновесную структуру и вызывая напряжение в осевом направлении. </w:t>
      </w:r>
    </w:p>
    <w:p w14:paraId="1A6F6BEC" w14:textId="0AA0073B" w:rsidR="00E4307F" w:rsidRDefault="00E4307F" w:rsidP="00C5550B">
      <w:r>
        <w:t>На рисунке (</w:t>
      </w:r>
      <w:r>
        <w:rPr>
          <w:lang w:val="en-US"/>
        </w:rPr>
        <w:t>b</w:t>
      </w:r>
      <w:r w:rsidRPr="00E4307F">
        <w:t>)</w:t>
      </w:r>
      <w:r>
        <w:t xml:space="preserve"> показаны относительные энергетические изменения модели в отношении </w:t>
      </w:r>
      <w:r w:rsidR="00C5550B">
        <w:t xml:space="preserve">эффектов скольжения и деформации, где положения атомов полностью расслаблены, но размер ячейки моделирования фиксирована. Мы вводим деформацию, изменяя осевую длину с шагом 1%. Исходная структура находится близко к минимуму энергетической кривой перед скольжением, поскольку постоянная решетки взята из оптимизированного объемного CsPbBr3. Скольжение значительно снижает энергию системы, а положительный наклон кривой энергии после скольжения указывает на наличие в модели растягивающей деформации. После уменьшения осевой длины на 2% система скольжения приближается к минимуму кривой энергии и становится свободной </w:t>
      </w:r>
      <w:r w:rsidR="00C5550B">
        <w:lastRenderedPageBreak/>
        <w:t>от деформаций. Более того, мы дополнительно устанавливаем длину -2%, чтобы учесть условия деформации при сжатии.</w:t>
      </w:r>
      <w:r w:rsidR="00BD6836">
        <w:t xml:space="preserve"> </w:t>
      </w:r>
    </w:p>
    <w:p w14:paraId="38421F20" w14:textId="454701E9" w:rsidR="00BD6836" w:rsidRDefault="00BD6836" w:rsidP="00C5550B">
      <w:r>
        <w:tab/>
        <w:t xml:space="preserve">Мы моделируем систему на протяжении 5 </w:t>
      </w:r>
      <w:proofErr w:type="spellStart"/>
      <w:r>
        <w:rPr>
          <w:lang w:val="en-US"/>
        </w:rPr>
        <w:t>ps</w:t>
      </w:r>
      <w:proofErr w:type="spellEnd"/>
      <w:r>
        <w:t xml:space="preserve">. </w:t>
      </w:r>
      <w:r w:rsidRPr="00BD6836">
        <w:t xml:space="preserve">Первые 5 </w:t>
      </w:r>
      <w:proofErr w:type="spellStart"/>
      <w:r w:rsidRPr="00BD6836">
        <w:t>пс</w:t>
      </w:r>
      <w:proofErr w:type="spellEnd"/>
      <w:r w:rsidRPr="00BD6836">
        <w:t xml:space="preserve"> предназначены для нагрева системы до состояния равновесия, а траектории последних 5 </w:t>
      </w:r>
      <w:proofErr w:type="spellStart"/>
      <w:r w:rsidRPr="00BD6836">
        <w:t>пс</w:t>
      </w:r>
      <w:proofErr w:type="spellEnd"/>
      <w:r w:rsidRPr="00BD6836">
        <w:t xml:space="preserve"> используются для анализа. На рисунках с и d показаны флуктуации потенциальной энергии и статистические результаты соответственно. Среднеквадратичное значение потенциальной энергии (RMS) уменьшается в модели деформации при растяжении по сравнению с моделью без деформации, что согласуется с диаграммой энергия−деформация. Однако деформация при сжатии лишь незначительно увеличивает потенциальную энергию, и флуктуация подавляется, о чем свидетельствуют изменения стандартного отклонения. Эти результаты демонстрируют, что деформация в CsPbBr3</w:t>
      </w:r>
      <w:r>
        <w:t xml:space="preserve"> </w:t>
      </w:r>
      <w:r w:rsidRPr="00BD6836">
        <w:t>не только влияет на межатомную потенциальную энергию, но и препятствует структурным колебаниям</w:t>
      </w:r>
      <w:r>
        <w:t>.</w:t>
      </w:r>
    </w:p>
    <w:p w14:paraId="50211FAF" w14:textId="5550BF0C" w:rsidR="00BD6836" w:rsidRPr="00BD6836" w:rsidRDefault="00BD6836" w:rsidP="00C5550B">
      <w:pPr>
        <w:pBdr>
          <w:bottom w:val="single" w:sz="6" w:space="1" w:color="auto"/>
        </w:pBdr>
      </w:pPr>
      <w:r>
        <w:t>(</w:t>
      </w:r>
      <w:r w:rsidRPr="00BD6836">
        <w:t xml:space="preserve">Среднеквадратичное значение и стандартное отклонение относительной потенциальной энергии приводят к траекториям за последние 5 </w:t>
      </w:r>
      <w:proofErr w:type="spellStart"/>
      <w:r w:rsidRPr="00BD6836">
        <w:t>пс</w:t>
      </w:r>
      <w:proofErr w:type="spellEnd"/>
      <w:r w:rsidRPr="00BD6836">
        <w:t>.</w:t>
      </w:r>
      <w:r>
        <w:t>)</w:t>
      </w:r>
    </w:p>
    <w:p w14:paraId="53D43237" w14:textId="195DD9ED" w:rsidR="00AA53DE" w:rsidRDefault="00AA53DE" w:rsidP="00AA53DE">
      <w:r w:rsidRPr="007D2AAD">
        <w:tab/>
      </w:r>
      <w:r>
        <w:t>Рассмотрим плотность состояний (</w:t>
      </w:r>
      <w:r>
        <w:rPr>
          <w:lang w:val="en-US"/>
        </w:rPr>
        <w:t>DOS</w:t>
      </w:r>
      <w:r w:rsidRPr="00AA53DE">
        <w:t>),</w:t>
      </w:r>
      <w:r>
        <w:t xml:space="preserve"> построенную на рисунке (</w:t>
      </w:r>
      <w:r>
        <w:rPr>
          <w:lang w:val="en-US"/>
        </w:rPr>
        <w:t>a</w:t>
      </w:r>
      <w:r w:rsidRPr="00AA53DE">
        <w:t>)</w:t>
      </w:r>
      <w:r>
        <w:t xml:space="preserve">. Структура межзеренной границы </w:t>
      </w:r>
      <w:r w:rsidRPr="00AA53DE">
        <w:t>создает электронные состояния вблизи края полосы, на которые редко влияет деформация</w:t>
      </w:r>
      <w:r>
        <w:t xml:space="preserve">. Тем не менее, </w:t>
      </w:r>
      <w:proofErr w:type="spellStart"/>
      <w:r>
        <w:t>межзеренная</w:t>
      </w:r>
      <w:proofErr w:type="spellEnd"/>
      <w:r>
        <w:t xml:space="preserve"> граница CsPbBr3 демонстрирует крупномасштабные движения при тепловых флуктуациях, и структурное искажение приводит к тому, что эти состояния GB находятся глубоко в запрещенной зоне. Рисунок (b) иллюстрирует схему этого процесса, а эволюция энергетического уровня модели GB при сжатии-деформации за последние 2 </w:t>
      </w:r>
      <w:proofErr w:type="spellStart"/>
      <w:r>
        <w:t>пс</w:t>
      </w:r>
      <w:proofErr w:type="spellEnd"/>
      <w:r>
        <w:t xml:space="preserve"> показана на рисунке (c) в качестве примера. (</w:t>
      </w:r>
      <w:r w:rsidRPr="00AA53DE">
        <w:t xml:space="preserve">В химии HOMO и LUMO являются типами молекулярных </w:t>
      </w:r>
      <w:proofErr w:type="spellStart"/>
      <w:r w:rsidRPr="00AA53DE">
        <w:t>орбиталей</w:t>
      </w:r>
      <w:proofErr w:type="spellEnd"/>
      <w:r w:rsidRPr="00AA53DE">
        <w:t xml:space="preserve">. Аббревиатуры обозначают самую высокую занятую молекулярную </w:t>
      </w:r>
      <w:proofErr w:type="spellStart"/>
      <w:r w:rsidRPr="00AA53DE">
        <w:t>орбиталь</w:t>
      </w:r>
      <w:proofErr w:type="spellEnd"/>
      <w:r w:rsidRPr="00AA53DE">
        <w:t xml:space="preserve"> и самую низкую незанятую молекулярную </w:t>
      </w:r>
      <w:proofErr w:type="spellStart"/>
      <w:r w:rsidRPr="00AA53DE">
        <w:t>орбиталь</w:t>
      </w:r>
      <w:proofErr w:type="spellEnd"/>
      <w:r w:rsidRPr="00AA53DE">
        <w:t xml:space="preserve"> соответственно.</w:t>
      </w:r>
      <w:r>
        <w:t xml:space="preserve">) Самый высокий занятая молекулярная </w:t>
      </w:r>
      <w:proofErr w:type="spellStart"/>
      <w:r>
        <w:t>орбиталь</w:t>
      </w:r>
      <w:proofErr w:type="spellEnd"/>
      <w:r>
        <w:t xml:space="preserve"> (HOMO) и низшая незанятая молекулярная </w:t>
      </w:r>
      <w:proofErr w:type="spellStart"/>
      <w:r>
        <w:t>орбиталь</w:t>
      </w:r>
      <w:proofErr w:type="spellEnd"/>
      <w:r>
        <w:t xml:space="preserve"> (LUMO) могут оказаться изолированными от других </w:t>
      </w:r>
      <w:proofErr w:type="spellStart"/>
      <w:r>
        <w:t>орбиталей</w:t>
      </w:r>
      <w:proofErr w:type="spellEnd"/>
      <w:r>
        <w:t xml:space="preserve"> во время колебаний, как указано стрелками. Ожидается, что такие электронные состояния улавливают </w:t>
      </w:r>
      <w:proofErr w:type="spellStart"/>
      <w:r>
        <w:t>фотогенерированные</w:t>
      </w:r>
      <w:proofErr w:type="spellEnd"/>
      <w:r>
        <w:t xml:space="preserve"> носители и облегчают их рекомбинацию, что приводит к потерям энергии.</w:t>
      </w:r>
    </w:p>
    <w:p w14:paraId="7C68C454" w14:textId="05B210D0" w:rsidR="007D2AAD" w:rsidRDefault="007965EE" w:rsidP="007965EE">
      <w:pPr>
        <w:pBdr>
          <w:bottom w:val="single" w:sz="6" w:space="1" w:color="auto"/>
        </w:pBdr>
      </w:pPr>
      <w:r>
        <w:t xml:space="preserve">На рисунке 2d показана оптимизированная структура GB CsPbBr3 после скольжения. На границах образуются ненасыщенные атомы Pb и </w:t>
      </w:r>
      <w:proofErr w:type="spellStart"/>
      <w:r>
        <w:t>Br</w:t>
      </w:r>
      <w:proofErr w:type="spellEnd"/>
      <w:r>
        <w:t xml:space="preserve">. Когда структура GB искажается, отталкивание между занятыми </w:t>
      </w:r>
      <w:proofErr w:type="spellStart"/>
      <w:r>
        <w:t>Br</w:t>
      </w:r>
      <w:proofErr w:type="spellEnd"/>
      <w:r>
        <w:t xml:space="preserve"> </w:t>
      </w:r>
      <w:proofErr w:type="spellStart"/>
      <w:r>
        <w:t>орбитали</w:t>
      </w:r>
      <w:proofErr w:type="spellEnd"/>
      <w:r>
        <w:t xml:space="preserve"> повышают уровень HOMO, в то время как гибридизация между незанятыми </w:t>
      </w:r>
      <w:proofErr w:type="spellStart"/>
      <w:r>
        <w:t>орбиталями</w:t>
      </w:r>
      <w:proofErr w:type="spellEnd"/>
      <w:r>
        <w:t xml:space="preserve"> Pb снижает уровень LUMO, что приводит к состояниям-ловушкам средней щели.</w:t>
      </w:r>
    </w:p>
    <w:p w14:paraId="61772081" w14:textId="15A2983B" w:rsidR="00D91462" w:rsidRPr="00C56ACE" w:rsidRDefault="00BE6EB3" w:rsidP="007965EE">
      <w:pPr>
        <w:rPr>
          <w:lang w:val="en-US"/>
        </w:rPr>
      </w:pPr>
      <w:r w:rsidRPr="00BE6EB3">
        <w:t>В статистической механике среднеквадратичное смещение (MSD, также среднеквадратичное смещение, среднеквадратичное смещение или</w:t>
      </w:r>
      <w:r>
        <w:t xml:space="preserve"> </w:t>
      </w:r>
      <w:r w:rsidRPr="00BE6EB3">
        <w:lastRenderedPageBreak/>
        <w:t>среднеквадратичное колебание) является мерой отклонения положения частицы относительно исходного положения с течением времени. Это наиболее распространенная мера пространственной протяженности случайного движения, и ее можно рассматривать как измерение части системы</w:t>
      </w:r>
      <w:r>
        <w:t xml:space="preserve">. </w:t>
      </w:r>
      <w:r w:rsidR="00E966FC" w:rsidRPr="00E966FC">
        <w:t xml:space="preserve">В области биофизики и инженерии среднеквадратичное смещение измеряется с течением времени, чтобы определить, распространяется ли частица медленно из-за диффузии или вносит свой вклад и </w:t>
      </w:r>
      <w:proofErr w:type="spellStart"/>
      <w:r w:rsidR="00E966FC" w:rsidRPr="00E966FC">
        <w:t>адвективн</w:t>
      </w:r>
      <w:r w:rsidR="00E966FC">
        <w:t>ую</w:t>
      </w:r>
      <w:proofErr w:type="spellEnd"/>
      <w:r w:rsidR="00E966FC" w:rsidRPr="00E966FC">
        <w:t xml:space="preserve"> сила.</w:t>
      </w:r>
      <w:r w:rsidR="00E966FC">
        <w:t xml:space="preserve"> (</w:t>
      </w:r>
      <w:r w:rsidR="00E966FC" w:rsidRPr="00D62610">
        <w:rPr>
          <w:i/>
          <w:iCs/>
        </w:rPr>
        <w:t xml:space="preserve">В области </w:t>
      </w:r>
      <w:proofErr w:type="gramStart"/>
      <w:r w:rsidR="00E966FC" w:rsidRPr="00D62610">
        <w:rPr>
          <w:i/>
          <w:iCs/>
        </w:rPr>
        <w:t>физики ,</w:t>
      </w:r>
      <w:proofErr w:type="gramEnd"/>
      <w:r w:rsidR="00E966FC" w:rsidRPr="00D62610">
        <w:rPr>
          <w:i/>
          <w:iCs/>
        </w:rPr>
        <w:t xml:space="preserve"> техники и наук о Земле адвекция — это перенос вещества или количества за счет объемного движения жидкости.</w:t>
      </w:r>
      <w:r w:rsidR="00D62610" w:rsidRPr="00D62610">
        <w:rPr>
          <w:i/>
          <w:iCs/>
        </w:rPr>
        <w:t xml:space="preserve"> </w:t>
      </w:r>
      <w:r w:rsidR="00D62610" w:rsidRPr="00D62610">
        <w:rPr>
          <w:i/>
          <w:iCs/>
        </w:rPr>
        <w:t xml:space="preserve">Термин адвекция часто служит синонимом </w:t>
      </w:r>
      <w:proofErr w:type="gramStart"/>
      <w:r w:rsidR="00D62610" w:rsidRPr="00D62610">
        <w:rPr>
          <w:i/>
          <w:iCs/>
        </w:rPr>
        <w:t>конвекции ,</w:t>
      </w:r>
      <w:proofErr w:type="gramEnd"/>
      <w:r w:rsidR="00D62610" w:rsidRPr="00D62610">
        <w:rPr>
          <w:i/>
          <w:iCs/>
        </w:rPr>
        <w:t xml:space="preserve"> и такое соответствие терминов используется в литературе. С технической точки зрения, конвекция применяется к движению жидкости (часто из-за градиентов плотности, создаваемых температурными градиентами), тогда как адвекция — это движение некоторого материала со скоростью жидкости. Таким образом, хотя это может показаться запутанным, технически правильно думать о том, что импульс переносится полем скорости в уравнениях Навье-Стокса, хотя результирующее движение будет считаться конвекцией. Из-за специфического использования термина «конвекция» для обозначения переноса в сочетании с температурными градиентами, вероятно, безопаснее использовать термин «адвекция», если вы не уверены в том, какая терминология лучше всего описывает конкретную систему</w:t>
      </w:r>
      <w:r w:rsidR="00D62610" w:rsidRPr="00D62610">
        <w:t>.</w:t>
      </w:r>
      <w:r w:rsidR="00E966FC">
        <w:t xml:space="preserve">) </w:t>
      </w:r>
    </w:p>
    <w:sectPr w:rsidR="00D91462" w:rsidRPr="00C56ACE" w:rsidSect="00A36DD8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11"/>
    <w:rsid w:val="005F4C11"/>
    <w:rsid w:val="00696ED9"/>
    <w:rsid w:val="007965EE"/>
    <w:rsid w:val="007D2AAD"/>
    <w:rsid w:val="008746E5"/>
    <w:rsid w:val="008A32E0"/>
    <w:rsid w:val="00914B83"/>
    <w:rsid w:val="00A36DD8"/>
    <w:rsid w:val="00AA53DE"/>
    <w:rsid w:val="00BD6836"/>
    <w:rsid w:val="00BE6EB3"/>
    <w:rsid w:val="00C5550B"/>
    <w:rsid w:val="00C56ACE"/>
    <w:rsid w:val="00D62610"/>
    <w:rsid w:val="00D91462"/>
    <w:rsid w:val="00DA5FE9"/>
    <w:rsid w:val="00E4307F"/>
    <w:rsid w:val="00E966FC"/>
    <w:rsid w:val="00EB4547"/>
    <w:rsid w:val="00EE0C9C"/>
    <w:rsid w:val="00F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C09A"/>
  <w15:chartTrackingRefBased/>
  <w15:docId w15:val="{E8443D7A-335F-4595-A2A2-580D6B4B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ED9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96ED9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6ED9"/>
    <w:pPr>
      <w:keepNext/>
      <w:keepLines/>
      <w:spacing w:before="40" w:after="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ED9"/>
    <w:rPr>
      <w:rFonts w:eastAsiaTheme="majorEastAsia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96ED9"/>
    <w:rPr>
      <w:rFonts w:eastAsiaTheme="majorEastAsia" w:cstheme="majorBidi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Саматов</dc:creator>
  <cp:keywords/>
  <dc:description/>
  <cp:lastModifiedBy>Михаил Саматов</cp:lastModifiedBy>
  <cp:revision>15</cp:revision>
  <dcterms:created xsi:type="dcterms:W3CDTF">2023-12-25T11:51:00Z</dcterms:created>
  <dcterms:modified xsi:type="dcterms:W3CDTF">2023-12-26T13:05:00Z</dcterms:modified>
</cp:coreProperties>
</file>