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76" w:rsidRDefault="00337A76" w:rsidP="0054538C">
      <w:pPr>
        <w:widowControl w:val="0"/>
        <w:autoSpaceDE w:val="0"/>
        <w:autoSpaceDN w:val="0"/>
        <w:adjustRightInd w:val="0"/>
        <w:spacing w:after="0" w:line="240" w:lineRule="auto"/>
        <w:ind w:left="5664"/>
        <w:rPr>
          <w:rFonts w:ascii="Times New Roman" w:hAnsi="Times New Roman"/>
          <w:sz w:val="26"/>
          <w:szCs w:val="26"/>
          <w:lang w:eastAsia="ru-RU"/>
        </w:rPr>
      </w:pPr>
      <w:r w:rsidRPr="001C03ED">
        <w:rPr>
          <w:rFonts w:ascii="Times New Roman" w:hAnsi="Times New Roman"/>
          <w:sz w:val="26"/>
          <w:szCs w:val="26"/>
          <w:lang w:eastAsia="ru-RU"/>
        </w:rPr>
        <w:t>Приложение</w:t>
      </w:r>
    </w:p>
    <w:p w:rsidR="00337A76" w:rsidRDefault="00337A76" w:rsidP="0054538C">
      <w:pPr>
        <w:widowControl w:val="0"/>
        <w:autoSpaceDE w:val="0"/>
        <w:autoSpaceDN w:val="0"/>
        <w:adjustRightInd w:val="0"/>
        <w:spacing w:after="0" w:line="240" w:lineRule="auto"/>
        <w:ind w:left="5664"/>
        <w:rPr>
          <w:rFonts w:ascii="Times New Roman" w:hAnsi="Times New Roman"/>
          <w:sz w:val="26"/>
          <w:szCs w:val="26"/>
          <w:lang w:eastAsia="ru-RU"/>
        </w:rPr>
      </w:pPr>
    </w:p>
    <w:p w:rsidR="00337A76" w:rsidRPr="001C03ED" w:rsidRDefault="00337A76" w:rsidP="0054538C">
      <w:pPr>
        <w:widowControl w:val="0"/>
        <w:autoSpaceDE w:val="0"/>
        <w:autoSpaceDN w:val="0"/>
        <w:adjustRightInd w:val="0"/>
        <w:spacing w:after="0" w:line="240" w:lineRule="auto"/>
        <w:ind w:left="5664"/>
        <w:rPr>
          <w:rFonts w:ascii="Times New Roman" w:hAnsi="Times New Roman"/>
          <w:sz w:val="26"/>
          <w:szCs w:val="26"/>
          <w:lang w:eastAsia="ru-RU"/>
        </w:rPr>
      </w:pPr>
      <w:r>
        <w:rPr>
          <w:rFonts w:ascii="Times New Roman" w:hAnsi="Times New Roman"/>
          <w:sz w:val="26"/>
          <w:szCs w:val="26"/>
          <w:lang w:eastAsia="ru-RU"/>
        </w:rPr>
        <w:t>УТВЕРЖДЕНО</w:t>
      </w:r>
    </w:p>
    <w:p w:rsidR="00337A76" w:rsidRPr="001C03ED" w:rsidRDefault="00337A76" w:rsidP="00230F5C">
      <w:pPr>
        <w:widowControl w:val="0"/>
        <w:autoSpaceDE w:val="0"/>
        <w:autoSpaceDN w:val="0"/>
        <w:adjustRightInd w:val="0"/>
        <w:spacing w:after="0" w:line="240" w:lineRule="auto"/>
        <w:ind w:left="5664" w:right="-284"/>
        <w:rPr>
          <w:rFonts w:ascii="Times New Roman" w:hAnsi="Times New Roman"/>
          <w:sz w:val="26"/>
          <w:szCs w:val="26"/>
          <w:lang w:eastAsia="ru-RU"/>
        </w:rPr>
      </w:pPr>
      <w:r w:rsidRPr="001C03ED">
        <w:rPr>
          <w:rFonts w:ascii="Times New Roman" w:hAnsi="Times New Roman"/>
          <w:sz w:val="26"/>
          <w:szCs w:val="26"/>
          <w:lang w:eastAsia="ru-RU"/>
        </w:rPr>
        <w:t>приказ</w:t>
      </w:r>
      <w:r>
        <w:rPr>
          <w:rFonts w:ascii="Times New Roman" w:hAnsi="Times New Roman"/>
          <w:sz w:val="26"/>
          <w:szCs w:val="26"/>
          <w:lang w:eastAsia="ru-RU"/>
        </w:rPr>
        <w:t>ом</w:t>
      </w:r>
      <w:r w:rsidRPr="001C03ED">
        <w:rPr>
          <w:rFonts w:ascii="Times New Roman" w:hAnsi="Times New Roman"/>
          <w:sz w:val="26"/>
          <w:szCs w:val="26"/>
          <w:lang w:eastAsia="ru-RU"/>
        </w:rPr>
        <w:t xml:space="preserve"> НИУ ВШЭ</w:t>
      </w:r>
    </w:p>
    <w:p w:rsidR="00337A76" w:rsidRDefault="00337A76" w:rsidP="0088233B">
      <w:pPr>
        <w:widowControl w:val="0"/>
        <w:autoSpaceDE w:val="0"/>
        <w:autoSpaceDN w:val="0"/>
        <w:adjustRightInd w:val="0"/>
        <w:spacing w:after="0" w:line="240" w:lineRule="auto"/>
        <w:ind w:left="5664" w:right="-143"/>
        <w:rPr>
          <w:rFonts w:ascii="Times New Roman" w:hAnsi="Times New Roman"/>
          <w:sz w:val="26"/>
          <w:szCs w:val="26"/>
        </w:rPr>
      </w:pPr>
      <w:r w:rsidRPr="001C03ED">
        <w:rPr>
          <w:rFonts w:ascii="Times New Roman" w:hAnsi="Times New Roman"/>
          <w:sz w:val="26"/>
          <w:szCs w:val="26"/>
          <w:lang w:eastAsia="ru-RU"/>
        </w:rPr>
        <w:t xml:space="preserve">от </w:t>
      </w:r>
      <w:r w:rsidRPr="00AF62C1">
        <w:rPr>
          <w:rFonts w:ascii="Times New Roman" w:hAnsi="Times New Roman"/>
          <w:bCs/>
          <w:sz w:val="26"/>
          <w:szCs w:val="26"/>
        </w:rPr>
        <w:t>16.03.2021 № 6.18.1-01/1603-02</w:t>
      </w:r>
      <w:bookmarkStart w:id="0" w:name="_GoBack"/>
      <w:bookmarkEnd w:id="0"/>
    </w:p>
    <w:p w:rsidR="00337A76" w:rsidRDefault="00337A76" w:rsidP="00B75070">
      <w:pPr>
        <w:spacing w:after="0" w:line="240" w:lineRule="auto"/>
        <w:jc w:val="right"/>
        <w:rPr>
          <w:rFonts w:ascii="Times New Roman" w:hAnsi="Times New Roman"/>
          <w:sz w:val="26"/>
          <w:szCs w:val="26"/>
        </w:rPr>
      </w:pPr>
    </w:p>
    <w:p w:rsidR="00337A76" w:rsidRPr="00A5751C" w:rsidRDefault="00337A76" w:rsidP="0096140A">
      <w:pPr>
        <w:spacing w:after="0" w:line="360" w:lineRule="auto"/>
        <w:jc w:val="center"/>
        <w:rPr>
          <w:rFonts w:ascii="Times New Roman" w:hAnsi="Times New Roman"/>
          <w:b/>
          <w:color w:val="000000"/>
          <w:sz w:val="26"/>
          <w:szCs w:val="26"/>
          <w:lang w:eastAsia="ru-RU"/>
        </w:rPr>
      </w:pPr>
      <w:r w:rsidRPr="00A5751C">
        <w:rPr>
          <w:rFonts w:ascii="Times New Roman" w:hAnsi="Times New Roman"/>
          <w:b/>
          <w:color w:val="000000"/>
          <w:sz w:val="26"/>
          <w:szCs w:val="26"/>
          <w:lang w:eastAsia="ru-RU"/>
        </w:rPr>
        <w:t>КОНЦЕПЦИЯ</w:t>
      </w:r>
    </w:p>
    <w:p w:rsidR="00337A76" w:rsidRDefault="00337A76" w:rsidP="0096140A">
      <w:pPr>
        <w:widowControl w:val="0"/>
        <w:shd w:val="clear" w:color="auto" w:fill="FFFFFF"/>
        <w:autoSpaceDE w:val="0"/>
        <w:autoSpaceDN w:val="0"/>
        <w:adjustRightInd w:val="0"/>
        <w:spacing w:after="0" w:line="360" w:lineRule="auto"/>
        <w:ind w:left="62"/>
        <w:jc w:val="center"/>
        <w:rPr>
          <w:rFonts w:ascii="Times New Roman" w:hAnsi="Times New Roman"/>
          <w:b/>
          <w:bCs/>
          <w:sz w:val="26"/>
          <w:szCs w:val="26"/>
        </w:rPr>
      </w:pPr>
      <w:r w:rsidRPr="008A179F">
        <w:rPr>
          <w:rFonts w:ascii="Times New Roman" w:hAnsi="Times New Roman"/>
          <w:b/>
          <w:color w:val="000000"/>
          <w:sz w:val="26"/>
          <w:szCs w:val="26"/>
          <w:lang w:eastAsia="ru-RU"/>
        </w:rPr>
        <w:t xml:space="preserve">реализации единого контракта научно-педагогического работника </w:t>
      </w:r>
      <w:r w:rsidRPr="008A179F">
        <w:rPr>
          <w:rFonts w:ascii="Times New Roman" w:hAnsi="Times New Roman"/>
          <w:b/>
          <w:bCs/>
          <w:sz w:val="26"/>
          <w:szCs w:val="26"/>
        </w:rPr>
        <w:t>Национального исследовательского университета «Высшая школа экономики»</w:t>
      </w:r>
    </w:p>
    <w:p w:rsidR="00337A76" w:rsidRPr="00A5751C" w:rsidRDefault="00337A76" w:rsidP="0096140A">
      <w:pPr>
        <w:widowControl w:val="0"/>
        <w:shd w:val="clear" w:color="auto" w:fill="FFFFFF"/>
        <w:autoSpaceDE w:val="0"/>
        <w:autoSpaceDN w:val="0"/>
        <w:adjustRightInd w:val="0"/>
        <w:spacing w:after="0" w:line="360" w:lineRule="auto"/>
        <w:ind w:left="62"/>
        <w:jc w:val="center"/>
      </w:pPr>
    </w:p>
    <w:p w:rsidR="00337A76" w:rsidRPr="00A5751C" w:rsidRDefault="00337A76" w:rsidP="0096140A">
      <w:pPr>
        <w:pStyle w:val="FR2"/>
        <w:spacing w:before="0" w:line="360" w:lineRule="auto"/>
        <w:ind w:left="0" w:firstLine="720"/>
        <w:jc w:val="both"/>
        <w:rPr>
          <w:color w:val="000000"/>
          <w:sz w:val="26"/>
          <w:szCs w:val="26"/>
        </w:rPr>
      </w:pPr>
      <w:r>
        <w:rPr>
          <w:sz w:val="26"/>
          <w:szCs w:val="26"/>
        </w:rPr>
        <w:t>Настоящая Концепция</w:t>
      </w:r>
      <w:r w:rsidRPr="00A5751C">
        <w:rPr>
          <w:sz w:val="26"/>
          <w:szCs w:val="26"/>
        </w:rPr>
        <w:t xml:space="preserve"> предлагает содержательные пояснения к </w:t>
      </w:r>
      <w:r>
        <w:rPr>
          <w:sz w:val="26"/>
          <w:szCs w:val="26"/>
        </w:rPr>
        <w:t xml:space="preserve">типовой </w:t>
      </w:r>
      <w:r w:rsidRPr="00A5751C">
        <w:rPr>
          <w:sz w:val="26"/>
          <w:szCs w:val="26"/>
        </w:rPr>
        <w:t>форме трудов</w:t>
      </w:r>
      <w:r>
        <w:rPr>
          <w:sz w:val="26"/>
          <w:szCs w:val="26"/>
        </w:rPr>
        <w:t>ого</w:t>
      </w:r>
      <w:r w:rsidRPr="00A5751C">
        <w:rPr>
          <w:sz w:val="26"/>
          <w:szCs w:val="26"/>
        </w:rPr>
        <w:t xml:space="preserve"> договор</w:t>
      </w:r>
      <w:r>
        <w:rPr>
          <w:sz w:val="26"/>
          <w:szCs w:val="26"/>
        </w:rPr>
        <w:t>а</w:t>
      </w:r>
      <w:r w:rsidRPr="00A5751C">
        <w:rPr>
          <w:sz w:val="26"/>
          <w:szCs w:val="26"/>
        </w:rPr>
        <w:t xml:space="preserve"> с </w:t>
      </w:r>
      <w:r w:rsidRPr="00A5751C">
        <w:rPr>
          <w:color w:val="000000"/>
          <w:sz w:val="26"/>
          <w:szCs w:val="26"/>
        </w:rPr>
        <w:t>научно-педагогическими работниками (далее</w:t>
      </w:r>
      <w:r>
        <w:rPr>
          <w:color w:val="000000"/>
          <w:sz w:val="26"/>
          <w:szCs w:val="26"/>
        </w:rPr>
        <w:t xml:space="preserve"> </w:t>
      </w:r>
      <w:r w:rsidRPr="00A5751C">
        <w:rPr>
          <w:b/>
          <w:color w:val="000000"/>
          <w:sz w:val="26"/>
          <w:szCs w:val="26"/>
        </w:rPr>
        <w:t xml:space="preserve">– </w:t>
      </w:r>
      <w:r w:rsidRPr="00A5751C">
        <w:rPr>
          <w:color w:val="000000"/>
          <w:sz w:val="26"/>
          <w:szCs w:val="26"/>
        </w:rPr>
        <w:t>НПР), включая</w:t>
      </w:r>
      <w:r w:rsidRPr="00A5751C">
        <w:rPr>
          <w:sz w:val="26"/>
          <w:szCs w:val="26"/>
        </w:rPr>
        <w:t xml:space="preserve"> </w:t>
      </w:r>
      <w:r w:rsidRPr="00A5751C">
        <w:rPr>
          <w:color w:val="000000"/>
          <w:sz w:val="26"/>
          <w:szCs w:val="26"/>
        </w:rPr>
        <w:t>профессорско-преподавательский состав (далее</w:t>
      </w:r>
      <w:r>
        <w:rPr>
          <w:color w:val="000000"/>
          <w:sz w:val="26"/>
          <w:szCs w:val="26"/>
        </w:rPr>
        <w:t xml:space="preserve"> </w:t>
      </w:r>
      <w:r w:rsidRPr="00A5751C">
        <w:rPr>
          <w:color w:val="000000"/>
          <w:sz w:val="26"/>
          <w:szCs w:val="26"/>
        </w:rPr>
        <w:t>– ППС) и научных работников Национального исследовательского университета «Высшая школа экономики» (далее</w:t>
      </w:r>
      <w:r>
        <w:rPr>
          <w:color w:val="000000"/>
          <w:sz w:val="26"/>
          <w:szCs w:val="26"/>
        </w:rPr>
        <w:t xml:space="preserve"> </w:t>
      </w:r>
      <w:r w:rsidRPr="00A5751C">
        <w:rPr>
          <w:color w:val="000000"/>
          <w:sz w:val="26"/>
          <w:szCs w:val="26"/>
        </w:rPr>
        <w:t xml:space="preserve">– НИУ ВШЭ, университет). В </w:t>
      </w:r>
      <w:r>
        <w:rPr>
          <w:color w:val="000000"/>
          <w:sz w:val="26"/>
          <w:szCs w:val="26"/>
        </w:rPr>
        <w:t>Концепции</w:t>
      </w:r>
      <w:r w:rsidRPr="00A5751C">
        <w:rPr>
          <w:color w:val="000000"/>
          <w:sz w:val="26"/>
          <w:szCs w:val="26"/>
        </w:rPr>
        <w:t xml:space="preserve"> раскрыва</w:t>
      </w:r>
      <w:r>
        <w:rPr>
          <w:color w:val="000000"/>
          <w:sz w:val="26"/>
          <w:szCs w:val="26"/>
        </w:rPr>
        <w:t>ю</w:t>
      </w:r>
      <w:r w:rsidRPr="00A5751C">
        <w:rPr>
          <w:color w:val="000000"/>
          <w:sz w:val="26"/>
          <w:szCs w:val="26"/>
        </w:rPr>
        <w:t>тся общая идея единого контракта с НПР и содержание основных трудовых обязанностей НПР.</w:t>
      </w:r>
    </w:p>
    <w:p w:rsidR="00337A76" w:rsidRPr="00A5751C" w:rsidRDefault="00337A76" w:rsidP="0096140A">
      <w:pPr>
        <w:pStyle w:val="FR2"/>
        <w:spacing w:before="0" w:line="360" w:lineRule="auto"/>
        <w:ind w:left="0" w:firstLine="720"/>
        <w:jc w:val="both"/>
        <w:rPr>
          <w:sz w:val="26"/>
          <w:szCs w:val="26"/>
        </w:rPr>
      </w:pPr>
    </w:p>
    <w:p w:rsidR="00337A76" w:rsidRPr="00A5751C" w:rsidRDefault="00337A76" w:rsidP="0096140A">
      <w:pPr>
        <w:spacing w:after="120" w:line="360" w:lineRule="auto"/>
        <w:jc w:val="center"/>
        <w:rPr>
          <w:rFonts w:ascii="Times New Roman" w:hAnsi="Times New Roman"/>
          <w:b/>
          <w:color w:val="000000"/>
          <w:sz w:val="26"/>
          <w:szCs w:val="26"/>
          <w:lang w:eastAsia="ru-RU"/>
        </w:rPr>
      </w:pPr>
      <w:r w:rsidRPr="00A5751C">
        <w:rPr>
          <w:rFonts w:ascii="Times New Roman" w:hAnsi="Times New Roman"/>
          <w:b/>
          <w:color w:val="000000"/>
          <w:sz w:val="26"/>
          <w:szCs w:val="26"/>
          <w:lang w:eastAsia="ru-RU"/>
        </w:rPr>
        <w:t>Общее понятие и цель единого контракта</w:t>
      </w:r>
    </w:p>
    <w:p w:rsidR="00337A76" w:rsidRPr="00A5751C" w:rsidRDefault="00337A76" w:rsidP="0096140A">
      <w:pPr>
        <w:spacing w:after="0" w:line="360" w:lineRule="auto"/>
        <w:ind w:firstLine="709"/>
        <w:jc w:val="both"/>
        <w:rPr>
          <w:rFonts w:ascii="Times New Roman" w:hAnsi="Times New Roman"/>
          <w:color w:val="000000"/>
          <w:sz w:val="26"/>
          <w:szCs w:val="26"/>
          <w:lang w:eastAsia="ru-RU"/>
        </w:rPr>
      </w:pPr>
      <w:r w:rsidRPr="00A5751C">
        <w:rPr>
          <w:rFonts w:ascii="Times New Roman" w:hAnsi="Times New Roman"/>
          <w:b/>
          <w:color w:val="000000"/>
          <w:sz w:val="26"/>
          <w:szCs w:val="26"/>
          <w:lang w:eastAsia="ru-RU"/>
        </w:rPr>
        <w:t>Единый контракт</w:t>
      </w:r>
      <w:r w:rsidRPr="00A5751C">
        <w:rPr>
          <w:rFonts w:ascii="Times New Roman" w:hAnsi="Times New Roman"/>
          <w:color w:val="000000"/>
          <w:sz w:val="26"/>
          <w:szCs w:val="26"/>
          <w:lang w:eastAsia="ru-RU"/>
        </w:rPr>
        <w:t xml:space="preserve"> представляет собой концепцию построения отношений НПР с университетом, которая фиксирует совокупность базовых требований к содержанию трудовых обязанностей НПР и создает исходную основу для регулирования содержания трудовых обязанностей НПР со стороны университета и его структурных подразделений.</w:t>
      </w:r>
    </w:p>
    <w:p w:rsidR="00337A76" w:rsidRPr="00A5751C" w:rsidRDefault="00337A76" w:rsidP="0096140A">
      <w:pPr>
        <w:spacing w:after="0" w:line="360" w:lineRule="auto"/>
        <w:ind w:firstLine="709"/>
        <w:jc w:val="both"/>
        <w:rPr>
          <w:rFonts w:ascii="Times New Roman" w:hAnsi="Times New Roman"/>
          <w:color w:val="000000"/>
          <w:sz w:val="26"/>
          <w:szCs w:val="26"/>
          <w:lang w:eastAsia="ru-RU"/>
        </w:rPr>
      </w:pPr>
      <w:r w:rsidRPr="00A5751C">
        <w:rPr>
          <w:rFonts w:ascii="Times New Roman" w:hAnsi="Times New Roman"/>
          <w:color w:val="000000"/>
          <w:sz w:val="26"/>
          <w:szCs w:val="26"/>
          <w:lang w:eastAsia="ru-RU"/>
        </w:rPr>
        <w:t>Целью введения единого контракта является более активное и полное вовлечение НПР в стратегическую и операционную деятельность университета, включая вовлечение научных работников в образовательную работу и вовлечение ППС в исследовательскую работу, более активное участие НПР в управлении университетом и полезной деятельности в интересах университета, последовательное внедрение единообразных подходов к содержанию трудовых обязанностей для разных категорий НПР, а также более равномерное распределение трудовых обязанностей между отдельными категориями НПР и между отдельными НПР внутри структурных подразделений университета.</w:t>
      </w:r>
      <w:r w:rsidRPr="00A5751C">
        <w:rPr>
          <w:rFonts w:ascii="Times New Roman" w:hAnsi="Times New Roman"/>
          <w:sz w:val="26"/>
          <w:szCs w:val="26"/>
        </w:rPr>
        <w:t xml:space="preserve">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A5751C">
        <w:rPr>
          <w:rFonts w:ascii="Times New Roman" w:hAnsi="Times New Roman"/>
          <w:color w:val="000000"/>
          <w:sz w:val="26"/>
          <w:szCs w:val="26"/>
          <w:lang w:eastAsia="ru-RU"/>
        </w:rPr>
        <w:t xml:space="preserve">Идея единого контракта исходит из того, что деятельность НПР университета подразумевает обязательное выполнение </w:t>
      </w:r>
      <w:r w:rsidRPr="003C07C0">
        <w:rPr>
          <w:rFonts w:ascii="Times New Roman" w:hAnsi="Times New Roman"/>
          <w:b/>
          <w:color w:val="000000"/>
          <w:sz w:val="26"/>
          <w:szCs w:val="26"/>
          <w:lang w:eastAsia="ru-RU"/>
        </w:rPr>
        <w:t>трех видов работы</w:t>
      </w:r>
      <w:r w:rsidRPr="00A5751C">
        <w:rPr>
          <w:rFonts w:ascii="Times New Roman" w:hAnsi="Times New Roman"/>
          <w:color w:val="000000"/>
          <w:sz w:val="26"/>
          <w:szCs w:val="26"/>
          <w:lang w:eastAsia="ru-RU"/>
        </w:rPr>
        <w:t xml:space="preserve">: образовательной, </w:t>
      </w:r>
      <w:r w:rsidRPr="00924873">
        <w:rPr>
          <w:rFonts w:ascii="Times New Roman" w:hAnsi="Times New Roman"/>
          <w:color w:val="000000"/>
          <w:sz w:val="26"/>
          <w:szCs w:val="26"/>
          <w:lang w:eastAsia="ru-RU"/>
        </w:rPr>
        <w:t xml:space="preserve">исследовательской (или ее субститутов) и организационной, каждая из которых выступает неотъемлемой частью академической деятельности.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b/>
          <w:color w:val="000000"/>
          <w:sz w:val="26"/>
          <w:szCs w:val="26"/>
          <w:lang w:eastAsia="ru-RU"/>
        </w:rPr>
        <w:t>Образовательная работа</w:t>
      </w:r>
      <w:r w:rsidRPr="00924873">
        <w:rPr>
          <w:rFonts w:ascii="Times New Roman" w:hAnsi="Times New Roman"/>
          <w:color w:val="000000"/>
          <w:sz w:val="26"/>
          <w:szCs w:val="26"/>
          <w:lang w:eastAsia="ru-RU"/>
        </w:rPr>
        <w:t xml:space="preserve"> включает выполнение НПР аудиторной и внеаудиторной учебной работы, а также учебно-методической работы.</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b/>
          <w:color w:val="000000"/>
          <w:sz w:val="26"/>
          <w:szCs w:val="26"/>
          <w:lang w:eastAsia="ru-RU"/>
        </w:rPr>
        <w:t>Исследовательская работа</w:t>
      </w:r>
      <w:r w:rsidRPr="00924873">
        <w:rPr>
          <w:rFonts w:ascii="Times New Roman" w:hAnsi="Times New Roman"/>
          <w:color w:val="000000"/>
          <w:sz w:val="26"/>
          <w:szCs w:val="26"/>
          <w:lang w:eastAsia="ru-RU"/>
        </w:rPr>
        <w:t xml:space="preserve"> выполняется НПР (или замещается другими видами работ) в зависимости от выбранной профессиональной траектории и подтверждается результатами, дифференцированными в зависимости от выбранной траектории: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НПР, выбравших академическую профессиональную траекторию, исследовательская работа включает выполнение фундаментальных и прикладных научных исследований, результатом которых выступают научные публикации</w:t>
      </w:r>
      <w:r>
        <w:rPr>
          <w:rFonts w:ascii="Times New Roman" w:hAnsi="Times New Roman"/>
          <w:color w:val="000000"/>
          <w:sz w:val="26"/>
          <w:szCs w:val="26"/>
          <w:lang w:eastAsia="ru-RU"/>
        </w:rPr>
        <w:t xml:space="preserve"> и другие результаты интеллектуальной деятельности</w:t>
      </w:r>
      <w:r w:rsidRPr="00924873">
        <w:rPr>
          <w:rFonts w:ascii="Times New Roman" w:hAnsi="Times New Roman"/>
          <w:color w:val="000000"/>
          <w:sz w:val="26"/>
          <w:szCs w:val="26"/>
          <w:lang w:eastAsia="ru-RU"/>
        </w:rPr>
        <w:t xml:space="preserve">. </w:t>
      </w:r>
    </w:p>
    <w:p w:rsidR="00337A76" w:rsidRPr="00924873" w:rsidRDefault="00337A76" w:rsidP="0096140A">
      <w:pPr>
        <w:spacing w:after="0" w:line="360" w:lineRule="auto"/>
        <w:ind w:firstLine="709"/>
        <w:jc w:val="both"/>
        <w:rPr>
          <w:rFonts w:ascii="Times New Roman" w:hAnsi="Times New Roman"/>
          <w:sz w:val="26"/>
          <w:szCs w:val="26"/>
        </w:rPr>
      </w:pPr>
      <w:r w:rsidRPr="00924873">
        <w:rPr>
          <w:rFonts w:ascii="Times New Roman" w:hAnsi="Times New Roman"/>
          <w:color w:val="000000"/>
          <w:sz w:val="26"/>
          <w:szCs w:val="26"/>
          <w:lang w:eastAsia="ru-RU"/>
        </w:rPr>
        <w:t xml:space="preserve">Для НПР, выбравших образовательно-методическую профессиональную траекторию, исследовательская работа может заменяться на образовательно-методическую, в качестве результатов которой могут учитываться, в том числе, </w:t>
      </w:r>
      <w:r w:rsidRPr="00924873">
        <w:rPr>
          <w:rFonts w:ascii="Times New Roman" w:hAnsi="Times New Roman"/>
          <w:sz w:val="26"/>
          <w:szCs w:val="26"/>
        </w:rPr>
        <w:t xml:space="preserve">записанные онлайн-курсы и онлайн-лекции на просветительских ресурсах; публикации учебников и учебных пособий; авторских методических материалов, используемых за пределами собственных учебных дисциплин; контрольно-измерительные материалы, сборники задач, упражнений, тестов, используемых за пределами собственных учебных дисциплин; разработка, методическая и техническая поддержка успешных онлайн-курсов и онлайн-программ.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НПР, выбравших практико-ориентированную профессиональную траекторию, исследовательская работа может заменяться на практико-ориентированную работу, в качестве результатов которой могут учитываться, в том числе,</w:t>
      </w:r>
      <w:r w:rsidRPr="00924873">
        <w:rPr>
          <w:rFonts w:ascii="Times New Roman" w:hAnsi="Times New Roman"/>
          <w:sz w:val="26"/>
          <w:szCs w:val="26"/>
        </w:rPr>
        <w:t xml:space="preserve"> работа на регулярной основе в неакадемических организациях, результаты интеллектуальной деятельности</w:t>
      </w:r>
      <w:r w:rsidRPr="00924873">
        <w:rPr>
          <w:rStyle w:val="FootnoteReference"/>
          <w:rFonts w:ascii="Times New Roman" w:hAnsi="Times New Roman"/>
          <w:sz w:val="26"/>
          <w:szCs w:val="26"/>
        </w:rPr>
        <w:footnoteReference w:id="1"/>
      </w:r>
      <w:r w:rsidRPr="00924873">
        <w:rPr>
          <w:rFonts w:ascii="Times New Roman" w:hAnsi="Times New Roman"/>
          <w:sz w:val="26"/>
          <w:szCs w:val="26"/>
        </w:rPr>
        <w:t xml:space="preserve">, наличие договоров о консультационной работе с внешними неакадемическими организациями или физическими лицами, подтвержденное регулярное участие в прикладных проектах НИУ ВШЭ с внешними источниками финансирования, с неакадемическими организациями, подтвержденная документально проектная деятельность. </w:t>
      </w:r>
      <w:r w:rsidRPr="00924873">
        <w:rPr>
          <w:rFonts w:ascii="Times New Roman" w:hAnsi="Times New Roman"/>
          <w:color w:val="000000"/>
          <w:sz w:val="26"/>
          <w:szCs w:val="26"/>
          <w:lang w:eastAsia="ru-RU"/>
        </w:rPr>
        <w:t>Примерные виды работ установлены приложениями 4 и 5.</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b/>
          <w:color w:val="000000"/>
          <w:sz w:val="26"/>
          <w:szCs w:val="26"/>
          <w:lang w:eastAsia="ru-RU"/>
        </w:rPr>
        <w:t>Организационная работа</w:t>
      </w:r>
      <w:r w:rsidRPr="00924873">
        <w:rPr>
          <w:rFonts w:ascii="Times New Roman" w:hAnsi="Times New Roman"/>
          <w:color w:val="000000"/>
          <w:sz w:val="26"/>
          <w:szCs w:val="26"/>
          <w:lang w:eastAsia="ru-RU"/>
        </w:rPr>
        <w:t xml:space="preserve"> включает участие НПР в работе коллегиальных органов управления НИУ ВШЭ и выполнение организационных функций, связанных с обеспечением текущей деятельности университета, улучшением условий этой деятельности, поддержанием и повышением репутации университета, иные виды полезной деятельности, осуществляемой в интересах университета.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К организационной работе в рамках данной концепции не относится исполнение дополнительно оплачиваемых обязанностей. Исключение составляет организационная работа, связанная с возложением на НПР постоянных административных обязанностей по руководству структурными подразделениями и образовательными программами (включая руководителей и их заместителей). При таком возложении обязанностей, несмотря на дополнительную оплату, организационная работа НПР считается выполненной в полном объеме.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К организационной работе может относиться, помимо работы, непосредственно связанной с деятельностью университета: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участие в работе внешних коллегиальных органов, связанное с обеспечением институционального представительства университета и осуществляемое по поручению руководителей университета и его структурных подразделений; </w:t>
      </w:r>
    </w:p>
    <w:p w:rsidR="00337A76" w:rsidRPr="00924873" w:rsidRDefault="00337A76" w:rsidP="0096140A">
      <w:pPr>
        <w:spacing w:after="0" w:line="360" w:lineRule="auto"/>
        <w:ind w:firstLine="709"/>
        <w:jc w:val="both"/>
        <w:rPr>
          <w:rFonts w:ascii="Times New Roman" w:hAnsi="Times New Roman"/>
          <w:sz w:val="26"/>
          <w:szCs w:val="26"/>
        </w:rPr>
      </w:pPr>
      <w:r w:rsidRPr="00924873">
        <w:rPr>
          <w:rFonts w:ascii="Times New Roman" w:hAnsi="Times New Roman"/>
          <w:sz w:val="26"/>
          <w:szCs w:val="26"/>
        </w:rPr>
        <w:t xml:space="preserve">– экспертно-аналитическая и просветительская деятельность, осуществляемая от имени университета;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sz w:val="26"/>
          <w:szCs w:val="26"/>
        </w:rPr>
        <w:t>– иная полезная деятельность в интересах университета, осуществляемая НПР без дополнительной оплаты.</w:t>
      </w:r>
      <w:r w:rsidRPr="00924873">
        <w:rPr>
          <w:rFonts w:ascii="Times New Roman" w:hAnsi="Times New Roman"/>
          <w:color w:val="000000"/>
          <w:sz w:val="26"/>
          <w:szCs w:val="26"/>
          <w:lang w:eastAsia="ru-RU"/>
        </w:rPr>
        <w:t xml:space="preserve">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В случае добровольного отказа НПР от оплаты за исполнение дополнительно оплачиваемых организационных обязанностей, такие обязанности можно отнести к организационной работе.</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Выполнение НПР организационной работы, наряду с образовательной и исследовательской работой, является обязательным для всех НПР, на которых распространяются условия единого контракта, являясь неотъемлемой частью академической деятельности НПР как работника университета.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Каждый НПР при необходимости участвует в экспертно-аналитической работе, осуществляемой в интересах учредителя университета, и ее информационном обеспечении. Данная работа является одним из приоритетных видов работ и может по решению ректора или руководителей, уполномоченных ректором для организации экспертно-аналитической работы, полностью или частично замещать работы в рамках единого контракта, за исключением вида деятельности, который для НПР является основным. Участие в экспертно-аналитической работе также не может служить основанием для отмены требований к публикационной активности НПР.</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другим приоритетным видам работы в Университете относятся также прикладные научные исследования и преподавание на программах дополнительного профессионального образования, осуществляемые с оплатой труда. На данные виды работ условия единого контракта не распространяются.</w:t>
      </w:r>
    </w:p>
    <w:p w:rsidR="00337A76" w:rsidRPr="00924873" w:rsidRDefault="00337A76" w:rsidP="0096140A">
      <w:pPr>
        <w:spacing w:after="0" w:line="360" w:lineRule="auto"/>
        <w:ind w:firstLine="709"/>
        <w:jc w:val="center"/>
        <w:rPr>
          <w:rFonts w:ascii="Times New Roman" w:hAnsi="Times New Roman"/>
          <w:color w:val="000000"/>
          <w:sz w:val="26"/>
          <w:szCs w:val="26"/>
          <w:lang w:eastAsia="ru-RU"/>
        </w:rPr>
      </w:pPr>
    </w:p>
    <w:p w:rsidR="00337A76" w:rsidRPr="00924873" w:rsidRDefault="00337A76" w:rsidP="0096140A">
      <w:pPr>
        <w:spacing w:after="120" w:line="36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Совокупная академическая нагрузка и ее закрепление в трудовых договорах</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Необходимость выполнения совокупной академической нагрузки, включающей образовательную, исследовательскую и организационную работу, закрепляется в трудовых договорах для должностей ППС и научных работников.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Условия единого контракта не распространяются на следующие категории НПР:</w:t>
      </w:r>
    </w:p>
    <w:p w:rsidR="00337A76" w:rsidRPr="00924873" w:rsidRDefault="00337A76" w:rsidP="0096140A">
      <w:pPr>
        <w:numPr>
          <w:ilvl w:val="0"/>
          <w:numId w:val="15"/>
        </w:numPr>
        <w:spacing w:after="0" w:line="36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деканов факультетов;</w:t>
      </w:r>
    </w:p>
    <w:p w:rsidR="00337A76" w:rsidRPr="00924873" w:rsidRDefault="00337A76" w:rsidP="0096140A">
      <w:pPr>
        <w:numPr>
          <w:ilvl w:val="0"/>
          <w:numId w:val="15"/>
        </w:numPr>
        <w:spacing w:after="0" w:line="36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ППС Военного учебного центра; </w:t>
      </w:r>
    </w:p>
    <w:p w:rsidR="00337A76" w:rsidRPr="00924873" w:rsidRDefault="00337A76" w:rsidP="0096140A">
      <w:pPr>
        <w:numPr>
          <w:ilvl w:val="0"/>
          <w:numId w:val="15"/>
        </w:numPr>
        <w:spacing w:after="0" w:line="36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ППС кафедры физической культуры; </w:t>
      </w:r>
    </w:p>
    <w:p w:rsidR="00337A76" w:rsidRPr="00924873" w:rsidRDefault="00337A76" w:rsidP="0096140A">
      <w:pPr>
        <w:numPr>
          <w:ilvl w:val="0"/>
          <w:numId w:val="15"/>
        </w:numPr>
        <w:spacing w:after="0" w:line="360" w:lineRule="auto"/>
        <w:ind w:left="142" w:firstLine="567"/>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работников, имеющих статус профессоров-исследователей и доцентов-исследователей;</w:t>
      </w:r>
    </w:p>
    <w:p w:rsidR="00337A76" w:rsidRPr="00924873" w:rsidRDefault="00337A76" w:rsidP="0096140A">
      <w:pPr>
        <w:numPr>
          <w:ilvl w:val="0"/>
          <w:numId w:val="15"/>
        </w:numPr>
        <w:spacing w:after="0" w:line="360" w:lineRule="auto"/>
        <w:ind w:left="142" w:firstLine="567"/>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работников, имеющих статусы почетных профессоров, выдающихся практиков;</w:t>
      </w:r>
    </w:p>
    <w:p w:rsidR="00337A76" w:rsidRPr="00924873" w:rsidRDefault="00337A76" w:rsidP="0096140A">
      <w:pPr>
        <w:numPr>
          <w:ilvl w:val="0"/>
          <w:numId w:val="15"/>
        </w:numPr>
        <w:spacing w:after="0" w:line="36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НПР на период отпусков по беременности и родам и отпусков по уходу за ребенком;</w:t>
      </w:r>
    </w:p>
    <w:p w:rsidR="00337A76" w:rsidRPr="00924873" w:rsidRDefault="00337A76" w:rsidP="0096140A">
      <w:pPr>
        <w:numPr>
          <w:ilvl w:val="0"/>
          <w:numId w:val="15"/>
        </w:numPr>
        <w:spacing w:after="0" w:line="36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НПР на период временной нетрудоспособности (более трех месяцев);</w:t>
      </w:r>
    </w:p>
    <w:p w:rsidR="00337A76" w:rsidRPr="00924873" w:rsidRDefault="00337A76" w:rsidP="0096140A">
      <w:pPr>
        <w:numPr>
          <w:ilvl w:val="0"/>
          <w:numId w:val="15"/>
        </w:numPr>
        <w:spacing w:after="0" w:line="360" w:lineRule="auto"/>
        <w:ind w:left="142" w:firstLine="567"/>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НПР, работающих на условиях внешнего и внутреннего совместительства (за исключением таких НПР, проходящих конкурс на замещение должностей ППС (далее </w:t>
      </w:r>
      <w:r w:rsidRPr="00924873">
        <w:rPr>
          <w:color w:val="000000"/>
          <w:sz w:val="26"/>
          <w:szCs w:val="26"/>
        </w:rPr>
        <w:t xml:space="preserve">– </w:t>
      </w:r>
      <w:r w:rsidRPr="00924873">
        <w:rPr>
          <w:rFonts w:ascii="Times New Roman" w:hAnsi="Times New Roman"/>
          <w:color w:val="000000"/>
          <w:sz w:val="26"/>
          <w:szCs w:val="26"/>
          <w:lang w:eastAsia="ru-RU"/>
        </w:rPr>
        <w:t>конкурс ППС);</w:t>
      </w:r>
    </w:p>
    <w:p w:rsidR="00337A76" w:rsidRPr="00924873" w:rsidRDefault="00337A76" w:rsidP="0096140A">
      <w:pPr>
        <w:numPr>
          <w:ilvl w:val="0"/>
          <w:numId w:val="15"/>
        </w:numPr>
        <w:spacing w:after="0" w:line="360" w:lineRule="auto"/>
        <w:ind w:left="142" w:firstLine="567"/>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НПР на период длительных творческих отпусков и длительных отпусков без сохранения заработной платы.</w:t>
      </w:r>
    </w:p>
    <w:p w:rsidR="00337A76" w:rsidRPr="00924873" w:rsidRDefault="00337A76" w:rsidP="0096140A">
      <w:pPr>
        <w:spacing w:after="0" w:line="360" w:lineRule="auto"/>
        <w:ind w:left="709"/>
        <w:jc w:val="both"/>
        <w:rPr>
          <w:rFonts w:ascii="Times New Roman" w:hAnsi="Times New Roman"/>
          <w:color w:val="000000"/>
          <w:sz w:val="26"/>
          <w:szCs w:val="26"/>
          <w:lang w:eastAsia="ru-RU"/>
        </w:rPr>
      </w:pP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Принципы единого контракта распространяются на НПР, принятых в НИУ ВШЭ по процедурам международного рекрутинга, с учетом особенностей и процедур, установленных в отдельном локальном нормативном акте НИУ ВШЭ.</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Концепция единого контракта предполагает различное соотношение трех видов работ в рабочем времени каждого НПР. Для каждой категории НПР основным является один из видов работ. Для НПР, принятых на должности ППС в структурное подразделение НИУ ВШЭ, реализующее образовательные программы высшего или дополнительного образования, основной является образовательная работа. Для НПР, принятых на должности научных работников в научно-исследовательское структурное подразделение НИУ ВШЭ, основной выступает исследовательская работа. Организационная функция должна составлять, как правило, 10% рабочего времени НПР. При этом организационная работа не может выступать в качестве основного вида трудовой деятельности ни для одной из категорий НПР. </w:t>
      </w:r>
    </w:p>
    <w:p w:rsidR="00337A76" w:rsidRPr="00924873" w:rsidRDefault="00337A76" w:rsidP="0096140A">
      <w:pPr>
        <w:spacing w:after="0" w:line="360" w:lineRule="auto"/>
        <w:ind w:firstLine="72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Концепция единого контракта предлагает единые базовые принципы заключения трудовых договоров с разными категориями НПР, но не предполагает единой формы трудового договора. Данная концепция реализуется путем заключения разных видов трудовых договоров, как на определенный срок, так и на неопределенный срок, с работниками, принадлежащими к разным категориям НПР, в том числе, трудовой договор с ППС, трудовой договор с научным работником, и проч. </w:t>
      </w:r>
    </w:p>
    <w:p w:rsidR="00337A76" w:rsidRPr="00924873" w:rsidRDefault="00337A76" w:rsidP="0096140A">
      <w:pPr>
        <w:spacing w:after="0" w:line="360" w:lineRule="auto"/>
        <w:ind w:firstLine="72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Трудовой договор подписывается руководителем, которому в соответствии с локальным нормативным актом НИУ ВШЭ предоставлены права работодателя в отношении НПР (далее </w:t>
      </w:r>
      <w:r w:rsidRPr="00924873">
        <w:rPr>
          <w:rFonts w:ascii="Times New Roman" w:hAnsi="Times New Roman"/>
          <w:color w:val="000000"/>
          <w:sz w:val="26"/>
          <w:szCs w:val="26"/>
        </w:rPr>
        <w:t xml:space="preserve">– </w:t>
      </w:r>
      <w:r w:rsidRPr="00924873">
        <w:rPr>
          <w:rFonts w:ascii="Times New Roman" w:hAnsi="Times New Roman"/>
          <w:color w:val="000000"/>
          <w:sz w:val="26"/>
          <w:szCs w:val="26"/>
          <w:lang w:eastAsia="ru-RU"/>
        </w:rPr>
        <w:t xml:space="preserve">координирующий проректор) по представлению руководителя образовательного или научно-исследовательского структурного подразделения НИУ ВШЭ, работа в котором является для НПР основным местом работы (далее </w:t>
      </w:r>
      <w:r w:rsidRPr="00924873">
        <w:rPr>
          <w:rFonts w:ascii="Times New Roman" w:hAnsi="Times New Roman"/>
          <w:color w:val="000000"/>
          <w:sz w:val="26"/>
          <w:szCs w:val="26"/>
        </w:rPr>
        <w:t xml:space="preserve">– </w:t>
      </w:r>
      <w:r w:rsidRPr="00924873">
        <w:rPr>
          <w:rFonts w:ascii="Times New Roman" w:hAnsi="Times New Roman"/>
          <w:color w:val="000000"/>
          <w:sz w:val="26"/>
          <w:szCs w:val="26"/>
          <w:lang w:eastAsia="ru-RU"/>
        </w:rPr>
        <w:t xml:space="preserve">руководитель структурного подразделения). Помимо основного трудового договора, по взаимному соглашению работника и университета с ним может быть заключен трудовой договор о работе в должности НПР на условиях внутреннего совместительства, предусматривающий выполнение дополнительно оплачиваемой образовательной, исследовательской или организационной работы. </w:t>
      </w:r>
    </w:p>
    <w:p w:rsidR="00337A76" w:rsidRPr="00924873" w:rsidRDefault="00337A76" w:rsidP="0096140A">
      <w:pPr>
        <w:spacing w:after="0" w:line="360" w:lineRule="auto"/>
        <w:ind w:firstLine="72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Для ППС условием для заключения трудового договора на условиях внутреннего совместительства в качестве научного работника является готовность к выполнению исследовательской работы в научно-исследовательских структурных подразделениях НИУ ВШЭ на условиях дополнительной оплаты, и готовность этих подразделений оплачивать данную работу. </w:t>
      </w:r>
    </w:p>
    <w:p w:rsidR="00337A76" w:rsidRPr="00924873" w:rsidRDefault="00337A76" w:rsidP="0096140A">
      <w:pPr>
        <w:spacing w:after="0" w:line="360" w:lineRule="auto"/>
        <w:ind w:firstLine="72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научных работников условием для заключения трудового договора о работе по внутреннему совместительству в качестве ППС является наличие подтвержденной учебной нагрузки в объеме, не меньшем, чем необходимо для получения 0,25 ставки ППС. Подтвержденной считается учебная нагрузка, соответствующая утвержденным на соответствующий учебный год рабочим учебным планам, и информации о выборе студентами курсов по выбору и факультативов.</w:t>
      </w:r>
    </w:p>
    <w:p w:rsidR="00337A76" w:rsidRPr="00924873" w:rsidRDefault="00337A76" w:rsidP="0096140A">
      <w:pPr>
        <w:spacing w:after="0" w:line="360" w:lineRule="auto"/>
        <w:jc w:val="center"/>
        <w:rPr>
          <w:rFonts w:ascii="Times New Roman" w:hAnsi="Times New Roman"/>
          <w:b/>
          <w:color w:val="000000"/>
          <w:sz w:val="26"/>
          <w:szCs w:val="26"/>
          <w:lang w:eastAsia="ru-RU"/>
        </w:rPr>
      </w:pPr>
    </w:p>
    <w:p w:rsidR="00337A76" w:rsidRPr="00924873" w:rsidRDefault="00337A76" w:rsidP="0096140A">
      <w:pPr>
        <w:spacing w:after="120" w:line="36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Выполнение условий трудового договора, заключенного на принципах единого контракта</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Помимо выполнения основного вида работы, каждый НПР обязан в соответствии с условиями трудового договора и требованиями локальных нормативных актов НИУ ВШЭ выполнять два других вида работ в объемах, не ниже установленных университетом минимальных нормативов (если такие нормативы установлены). </w:t>
      </w:r>
    </w:p>
    <w:p w:rsidR="00337A76" w:rsidRPr="00924873" w:rsidRDefault="00337A76" w:rsidP="0096140A">
      <w:pPr>
        <w:pStyle w:val="CommentText"/>
        <w:spacing w:after="0" w:line="360" w:lineRule="auto"/>
        <w:ind w:firstLine="709"/>
        <w:jc w:val="both"/>
        <w:rPr>
          <w:rFonts w:ascii="Times New Roman" w:hAnsi="Times New Roman"/>
          <w:sz w:val="26"/>
          <w:szCs w:val="26"/>
        </w:rPr>
      </w:pPr>
      <w:r w:rsidRPr="00924873">
        <w:rPr>
          <w:rFonts w:ascii="Times New Roman" w:hAnsi="Times New Roman"/>
          <w:sz w:val="26"/>
          <w:szCs w:val="26"/>
        </w:rPr>
        <w:t>В случае заключения с преподавателем трудового договора, предусматривающего повышенные нормативы выполнения образовательной работы (преподавательский контракт), организационная работа должна им выполняться в рамках установленных нормативов в полном объеме.</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sz w:val="26"/>
          <w:szCs w:val="26"/>
        </w:rPr>
        <w:t>В случае заключения трудового договора с НПР на условиях неполного рабочего времени исследовательская работа должна им выполняться в полном объеме, тогда как объем выполнения образовательной и организационной работы уменьшается пропорционально сокращению рабочего дня.</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Соблюдение условий единого контракта ППС означает, что работник ППС выполнил установленную учебную нагрузку в прошедшем учебном году, соответствует критериям конкурсного отбора ППС в части исследовательской/образовательно-методической/практико-ориентированной (в зависимости от профессиональной траектории) работы за отчетный период, и выполнил организационную работу в предусмотренном университетом объеме.</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Соблюдение условий единого контракта научным работником означает, что научный работник соответствует критериям оценки публикационной активности, установленным в университете, выполнял образовательную работу в рамках любой из образовательных программ НИУ ВШЭ (включая программы Лицея НИУ ВШЭ), и выполнял организационную работу в предусмотренном университетом объеме. Работа научного работника в качестве ППС на условиях внутреннего совместительства (с дополнительной оплатой) в объеме, не меньшем 0,25 ставки в годовом измерении, дополнительные требования к выполнению образовательной работы не устанавливаются.</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ППС обязаны иметь аудиторную нагрузку. Включение в образовательную работу научных работников возможно без выполнения аудиторной нагрузки. </w:t>
      </w:r>
    </w:p>
    <w:p w:rsidR="00337A76" w:rsidRPr="00924873" w:rsidRDefault="00337A76" w:rsidP="0096140A">
      <w:pPr>
        <w:spacing w:after="0" w:line="360" w:lineRule="auto"/>
        <w:jc w:val="center"/>
        <w:rPr>
          <w:rFonts w:ascii="Times New Roman" w:hAnsi="Times New Roman"/>
          <w:b/>
          <w:color w:val="000000"/>
          <w:sz w:val="26"/>
          <w:szCs w:val="26"/>
          <w:lang w:eastAsia="ru-RU"/>
        </w:rPr>
      </w:pPr>
    </w:p>
    <w:p w:rsidR="00337A76" w:rsidRPr="00924873" w:rsidRDefault="00337A76" w:rsidP="0096140A">
      <w:pPr>
        <w:spacing w:after="120" w:line="36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Измерение объема выполненной академической работы</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При измерении объема выполненной академической работы используются ранее введенные критерии и нормативы. При введении дополнительных инструментов оценивания и отчетности используется принцип максимальной простоты.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измерения трех видов академической работы, в связи с их разнородностью, используются разные инструменты.</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Объем выполнения образовательной работы измеряется в часах учебной нагрузки в соответствии с нормативами, установленными в НИУ ВШЭ.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НПР, у которых основным видом деятельности является образовательная работа, устанавливаются виды учебной нагрузки в пределах утвержденных рабочих учебных планов.</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НПР, у которых основным видом деятельности является исследовательская работа, помимо выполнения учебной нагрузки в пределах утвержденных рабочих учебных планов, могут устанавливаться виды учебной нагрузки, выходящие за пределы утвержденных рабочих учебных планов и регулируемые отдельными нормативами, установленными НИУ ВШЭ. В этих случаях образовательная деятельность не может быть связана с дополнительной оплатой.</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Объем выполнения исследовательской работы для НПР, выбравших академическую профессиональную траекторию, измеряется ее результатами в виде публикационной активности в соответствии с порядком, установленным в НИУ ВШЭ</w:t>
      </w:r>
      <w:r w:rsidRPr="00924873">
        <w:rPr>
          <w:rStyle w:val="FootnoteReference"/>
          <w:rFonts w:ascii="Times New Roman" w:hAnsi="Times New Roman"/>
          <w:color w:val="000000"/>
          <w:sz w:val="26"/>
          <w:szCs w:val="26"/>
          <w:lang w:eastAsia="ru-RU"/>
        </w:rPr>
        <w:footnoteReference w:id="2"/>
      </w:r>
      <w:r w:rsidRPr="00924873">
        <w:rPr>
          <w:rFonts w:ascii="Times New Roman" w:hAnsi="Times New Roman"/>
          <w:color w:val="000000"/>
          <w:sz w:val="26"/>
          <w:szCs w:val="26"/>
          <w:lang w:eastAsia="ru-RU"/>
        </w:rPr>
        <w:t>. Объем выполнения исследовательской работы для НПР, выбравших образовательно-методическую и практико-ориентированную профессиональные траектории, измеряется по критериям и показателям, которые разрабатываются профильными кадровыми комиссиями и утверждаются учеными советами факультетов.</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Оценка выполнения организационной работы делегируется университетом руководителям структурных подразделений. Объем выполнения организационной функции составляет, как правило, 10% рабочего времени НПР и определяется фактическим выполнением организационной работы, включая участие НПР в коллегиальных органах НИУ ВШЭ и выполнение других форм полезной деятельности в интересах университета. Этот объем оценивается по итогам учебного года руководителем структурного подразделения, в котором НПР реализует свой основной вид работы, с использованием стандартной трехзначной шкалы, включающей следующие оценки: «Невыполнение/недостаточное выполнение», «Выполнение», «Активное выполнение». Пороговые значения устанавливаются руководителем структурного подразделения самостоятельно с учетом специфики работы сотрудников структурного подразделения. Абсолютные нормативные значения в данном случае не задаются. При проставлении оценок рекомендуется дифференцировать их на основе оценки сравнительного вклада НПР в выполнение организационной работы.</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При возникновении спорных ситуаций между НПР и руководителем структурного подразделения при оценке характера и объема выполненных работ любая из сторон может передать вопрос на рассмотрение руководителя вышестоящего структурного подразделения. </w:t>
      </w:r>
    </w:p>
    <w:p w:rsidR="00337A76" w:rsidRPr="00924873" w:rsidRDefault="00337A76" w:rsidP="0096140A">
      <w:pPr>
        <w:spacing w:after="0" w:line="360" w:lineRule="auto"/>
        <w:ind w:firstLine="709"/>
        <w:jc w:val="center"/>
        <w:rPr>
          <w:rFonts w:ascii="Times New Roman" w:hAnsi="Times New Roman"/>
          <w:b/>
          <w:color w:val="000000"/>
          <w:sz w:val="26"/>
          <w:szCs w:val="26"/>
          <w:lang w:eastAsia="ru-RU"/>
        </w:rPr>
      </w:pPr>
    </w:p>
    <w:p w:rsidR="00337A76" w:rsidRPr="00924873" w:rsidRDefault="00337A76" w:rsidP="0096140A">
      <w:pPr>
        <w:spacing w:after="120" w:line="36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Контроль выполнения НПР условий единого контракта</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Содержание и объем фактически выполненной преподавательской, исследовательской и организационной работы проверяются и оцениваются по итогам каждого учебного года или перед принятием решения о заключении основного трудового договора на новый срок (в случае истечения срока трудового договора) руководителем структурного подразделения на основании предоставленного НПР отчета.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В силу невозможности централизованного сбора всей необходимой информации (кроме учебной нагрузки) и в целях упрощения системы отчетности, отчет заполняется каждым НПР самостоятельно с использованием единых простых форм. Данные об учебной нагрузке берутся из централизованного источника (система Абитуриент-Студент-Аспирант-Выпускник).</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Отчет предоставляется каждым НПР руководителю структурного подразделения (в зависимости от основной функции НПР) содержит перечень и объем фактически выполненных обязанностей по трем видам академической нагрузки</w:t>
      </w:r>
      <w:r w:rsidRPr="00924873">
        <w:rPr>
          <w:rStyle w:val="FootnoteReference"/>
          <w:rFonts w:ascii="Times New Roman" w:hAnsi="Times New Roman"/>
          <w:color w:val="000000"/>
          <w:sz w:val="26"/>
          <w:szCs w:val="26"/>
          <w:lang w:eastAsia="ru-RU"/>
        </w:rPr>
        <w:footnoteReference w:id="3"/>
      </w:r>
      <w:r w:rsidRPr="00924873">
        <w:rPr>
          <w:rFonts w:ascii="Times New Roman" w:hAnsi="Times New Roman"/>
          <w:color w:val="000000"/>
          <w:sz w:val="26"/>
          <w:szCs w:val="26"/>
          <w:lang w:eastAsia="ru-RU"/>
        </w:rPr>
        <w:t xml:space="preserve">.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Единый отчет </w:t>
      </w:r>
      <w:r w:rsidRPr="00924873">
        <w:rPr>
          <w:rFonts w:ascii="Times New Roman" w:hAnsi="Times New Roman"/>
          <w:color w:val="0D0D0D"/>
          <w:sz w:val="26"/>
          <w:szCs w:val="26"/>
          <w:lang w:eastAsia="ru-RU"/>
        </w:rPr>
        <w:t xml:space="preserve">формируется </w:t>
      </w:r>
      <w:r w:rsidRPr="00924873">
        <w:rPr>
          <w:rFonts w:ascii="Times New Roman" w:hAnsi="Times New Roman"/>
          <w:color w:val="0D0D0D"/>
          <w:sz w:val="26"/>
          <w:szCs w:val="26"/>
        </w:rPr>
        <w:t xml:space="preserve">в электронной системе отчетности по адресу: </w:t>
      </w:r>
      <w:hyperlink r:id="rId7" w:history="1">
        <w:r w:rsidRPr="00924873">
          <w:rPr>
            <w:rStyle w:val="Hyperlink"/>
            <w:rFonts w:ascii="Times New Roman" w:hAnsi="Times New Roman"/>
            <w:color w:val="0D0D0D"/>
            <w:sz w:val="26"/>
            <w:szCs w:val="26"/>
          </w:rPr>
          <w:t>https://app-ek.hse.ru/</w:t>
        </w:r>
      </w:hyperlink>
      <w:r w:rsidRPr="00924873">
        <w:rPr>
          <w:rFonts w:ascii="Times New Roman" w:hAnsi="Times New Roman"/>
          <w:color w:val="0D0D0D"/>
          <w:sz w:val="26"/>
          <w:szCs w:val="26"/>
        </w:rPr>
        <w:t xml:space="preserve"> на основе данных, внесенных НПР.</w:t>
      </w:r>
      <w:r w:rsidRPr="00924873">
        <w:rPr>
          <w:rFonts w:ascii="Times New Roman" w:hAnsi="Times New Roman"/>
          <w:color w:val="0D0D0D"/>
          <w:sz w:val="26"/>
          <w:szCs w:val="26"/>
          <w:lang w:eastAsia="ru-RU"/>
        </w:rPr>
        <w:t xml:space="preserve"> Уведомление</w:t>
      </w:r>
      <w:r w:rsidRPr="00924873">
        <w:rPr>
          <w:rFonts w:ascii="Times New Roman" w:hAnsi="Times New Roman"/>
          <w:color w:val="000000"/>
          <w:sz w:val="26"/>
          <w:szCs w:val="26"/>
          <w:lang w:eastAsia="ru-RU"/>
        </w:rPr>
        <w:t xml:space="preserve"> о сформированном отчете направляется руководителю структурного подразделения не позднее 15 июля текущего года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Для прохождения конкурса ППС при завершении срока трудового договора или при повышении в должности, единый отчет заполняется перед подачей документов и подается вместе с другими конкурсными документами через электронную конкурсную систему.  Руководитель структурного подразделения обязан обеспечить проверку единого отчета и выставление оценки до завершения регистрации работника для участия в конкурсе ППС.  В случае, если в конкурсе ППС принимает участие ППС, работающий на условиях совместительства, предоставление руководителю структурного подразделения единого отчета для оценивания является обязательным.</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Выполнение трех видов работ НПР оценивается руководителем структурного подразделения на основании информации, содержащейся в отчете. В случае, если выполнение какого-либо вида работы связано с деятельностью вне сферы контроля</w:t>
      </w:r>
      <w:r w:rsidRPr="00924873">
        <w:rPr>
          <w:rFonts w:ascii="Times New Roman" w:hAnsi="Times New Roman"/>
          <w:sz w:val="26"/>
          <w:szCs w:val="26"/>
        </w:rPr>
        <w:t xml:space="preserve"> </w:t>
      </w:r>
      <w:r w:rsidRPr="00924873">
        <w:rPr>
          <w:rFonts w:ascii="Times New Roman" w:hAnsi="Times New Roman"/>
          <w:color w:val="000000"/>
          <w:sz w:val="26"/>
          <w:szCs w:val="26"/>
          <w:lang w:eastAsia="ru-RU"/>
        </w:rPr>
        <w:t>руководителя структурного подразделения, последний вправе запросить подтверждающую информацию у руководителя соответствующего структурного подразделения.</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Отчет хранится руководителем структурного подразделения в соответствии с порядком хранения электронных документов, установленным в НИУ ВШЭ. Доступ к отчету имеют: руководитель структурного подразделения; координирующий проректор; ректор; работники, которым они делегировали право такого доступа. При прохождении НПР конкурса ППС или оценки публикационной активности право доступа к отчету до завершения сроков конкурса получают члены профильных кадровых комиссий структурных подразделений, а также координатор конкурса ППС и координатор кампании по оценке публикационной активности научных работников. </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Результаты отчета НПР за предшествующий период могут использоваться руководителем структурного подразделения, руководителем вышестоящего структурного подразделения, членами профильных кадровых комиссий структурных подразделений и координирующим проректором при решении вопросов о рекомендации ППС при прохождении конкурса на замещение соответствующей должности ППС, повышении в должности. Они могут являться основанием для перераспределения руководителем структурного подразделения учебной и организационной нагрузки между НПР в следующем учебном году.</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Координирующий проректор осуществляет ежегодный мониторинг исполнения условий единого контракта в рамках структурных подразделений на выборочной основе, помогает разрешать спорные ситуации. По результатам мониторинга координирующий проректор может давать руководителям структурных подразделений НИУ ВШЭ рекомендации по распределению как совокупной академической нагрузки НПР структурного подразделения, так и отдельных видов нагрузки НПР структурного подразделения на следующий учебный год.  </w:t>
      </w:r>
    </w:p>
    <w:p w:rsidR="00337A76" w:rsidRPr="00924873" w:rsidRDefault="00337A76" w:rsidP="0096140A">
      <w:pPr>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Обязанности университета и руководителя структурного подразделения</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Университет обеспечивает НПР благоприятные условия для реализации условий единого контракта. Обязанности университета перед НПР фиксируются в трудовом договоре с НПР и предусматривают, в числе прочих:</w:t>
      </w:r>
    </w:p>
    <w:p w:rsidR="00337A76" w:rsidRPr="00924873" w:rsidRDefault="00337A76" w:rsidP="0096140A">
      <w:pPr>
        <w:numPr>
          <w:ilvl w:val="0"/>
          <w:numId w:val="17"/>
        </w:numPr>
        <w:tabs>
          <w:tab w:val="num" w:pos="709"/>
        </w:tabs>
        <w:spacing w:after="0" w:line="360" w:lineRule="auto"/>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создание условий для профессионального развития НПР, включая обеспечение НПР необходимыми информационными ресурсами, повышение профессиональной квалификации, поддержание и укрепление репутации НПР университета в мировом академическом сообществе;</w:t>
      </w:r>
    </w:p>
    <w:p w:rsidR="00337A76" w:rsidRPr="00924873" w:rsidRDefault="00337A76" w:rsidP="0096140A">
      <w:pPr>
        <w:numPr>
          <w:ilvl w:val="0"/>
          <w:numId w:val="17"/>
        </w:numPr>
        <w:tabs>
          <w:tab w:val="num" w:pos="709"/>
        </w:tabs>
        <w:spacing w:after="0" w:line="360" w:lineRule="auto"/>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создание условий для качественного выполнения образовательной работы (включая содержание и техническое оснащение аудиторного фонда и фонда иных рабочих мест НПР), </w:t>
      </w:r>
    </w:p>
    <w:p w:rsidR="00337A76" w:rsidRPr="00924873" w:rsidRDefault="00337A76" w:rsidP="0096140A">
      <w:pPr>
        <w:numPr>
          <w:ilvl w:val="0"/>
          <w:numId w:val="17"/>
        </w:numPr>
        <w:tabs>
          <w:tab w:val="num" w:pos="709"/>
        </w:tabs>
        <w:spacing w:after="0" w:line="360" w:lineRule="auto"/>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создание условий для подготовки, проведения и широкого распространения результатов исследовательской работы НПР;</w:t>
      </w:r>
    </w:p>
    <w:p w:rsidR="00337A76" w:rsidRPr="00924873" w:rsidRDefault="00337A76" w:rsidP="0096140A">
      <w:pPr>
        <w:numPr>
          <w:ilvl w:val="0"/>
          <w:numId w:val="17"/>
        </w:numPr>
        <w:tabs>
          <w:tab w:val="num" w:pos="1560"/>
        </w:tabs>
        <w:spacing w:after="0" w:line="360" w:lineRule="auto"/>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создание условий для качественного выполнения организационной работы НПР;</w:t>
      </w:r>
    </w:p>
    <w:p w:rsidR="00337A76" w:rsidRPr="00924873" w:rsidRDefault="00337A76" w:rsidP="0096140A">
      <w:pPr>
        <w:numPr>
          <w:ilvl w:val="0"/>
          <w:numId w:val="17"/>
        </w:numPr>
        <w:tabs>
          <w:tab w:val="num" w:pos="709"/>
        </w:tabs>
        <w:spacing w:after="0" w:line="360" w:lineRule="auto"/>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создание комфортной среды для творческой работы НПР, включая поддержание на уровне международных стандартов столовых, мест коллективного общения, мест общего пользования, и иных необходимых элементов инфраструктуры университета.</w:t>
      </w:r>
    </w:p>
    <w:p w:rsidR="00337A76" w:rsidRPr="00924873" w:rsidRDefault="00337A76" w:rsidP="0096140A">
      <w:pPr>
        <w:spacing w:after="0" w:line="360" w:lineRule="auto"/>
        <w:ind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Руководитель структурного подразделения, работа в котором считается для НПР основной, обязан создавать НПР благоприятные условия для выполнения совокупной академической нагрузки: способствовать получению учебной нагрузки (в том числе, путем проведения переговоров с руководителями других подразделений), способствовать росту продуктивности исследовательской работы и повышению профессиональной квалификации, вовлекать НПР в коллегиальные органы управления или организационную работу, оказывать систематическую информационную поддержку, создавать иные условия, способствующие полноценному выполнению НПР всех трудовых обязанностей.</w:t>
      </w:r>
    </w:p>
    <w:p w:rsidR="00337A76" w:rsidRPr="00924873" w:rsidRDefault="00337A76" w:rsidP="0096140A">
      <w:pPr>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br w:type="page"/>
      </w:r>
    </w:p>
    <w:p w:rsidR="00337A76" w:rsidRPr="00924873" w:rsidRDefault="00337A76" w:rsidP="0096140A">
      <w:pPr>
        <w:spacing w:after="0" w:line="240" w:lineRule="auto"/>
        <w:ind w:right="424" w:firstLine="567"/>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r>
      <w:r w:rsidRPr="00924873">
        <w:rPr>
          <w:rFonts w:ascii="Times New Roman" w:hAnsi="Times New Roman"/>
          <w:color w:val="000000"/>
          <w:sz w:val="26"/>
          <w:szCs w:val="26"/>
          <w:lang w:eastAsia="ru-RU"/>
        </w:rPr>
        <w:tab/>
        <w:t>Приложение 1</w:t>
      </w:r>
    </w:p>
    <w:p w:rsidR="00337A76" w:rsidRPr="00924873" w:rsidRDefault="00337A76" w:rsidP="0096140A">
      <w:pPr>
        <w:spacing w:after="0" w:line="240" w:lineRule="auto"/>
        <w:ind w:right="424" w:firstLine="567"/>
        <w:jc w:val="both"/>
        <w:rPr>
          <w:rFonts w:ascii="Times New Roman" w:hAnsi="Times New Roman"/>
          <w:color w:val="000000"/>
          <w:sz w:val="26"/>
          <w:szCs w:val="26"/>
          <w:lang w:eastAsia="ru-RU"/>
        </w:rPr>
      </w:pP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Концепции реализации единого контракта научно-педагогического работника Национального исследовательского университета «Высшая школа экономики»</w:t>
      </w:r>
    </w:p>
    <w:p w:rsidR="00337A76" w:rsidRPr="00924873" w:rsidRDefault="00337A76" w:rsidP="0096140A">
      <w:pPr>
        <w:rPr>
          <w:rFonts w:ascii="Times New Roman" w:hAnsi="Times New Roman"/>
          <w:b/>
          <w:color w:val="000000"/>
          <w:sz w:val="26"/>
          <w:szCs w:val="26"/>
          <w:lang w:eastAsia="ru-RU"/>
        </w:rPr>
      </w:pPr>
    </w:p>
    <w:p w:rsidR="00337A76" w:rsidRPr="00924873" w:rsidRDefault="00337A76" w:rsidP="0096140A">
      <w:pPr>
        <w:spacing w:after="360" w:line="24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Примерный перечень видов образовательной работы (не является исчерпывающим</w:t>
      </w:r>
      <w:r w:rsidRPr="00924873">
        <w:rPr>
          <w:rStyle w:val="FootnoteReference"/>
          <w:rFonts w:ascii="Times New Roman" w:hAnsi="Times New Roman"/>
          <w:b/>
          <w:color w:val="000000"/>
          <w:sz w:val="26"/>
          <w:szCs w:val="26"/>
          <w:lang w:eastAsia="ru-RU"/>
        </w:rPr>
        <w:footnoteReference w:id="4"/>
      </w:r>
      <w:r w:rsidRPr="00924873">
        <w:rPr>
          <w:rFonts w:ascii="Times New Roman" w:hAnsi="Times New Roman"/>
          <w:b/>
          <w:color w:val="000000"/>
          <w:sz w:val="26"/>
          <w:szCs w:val="26"/>
          <w:lang w:eastAsia="ru-RU"/>
        </w:rPr>
        <w:t>):</w:t>
      </w:r>
    </w:p>
    <w:p w:rsidR="00337A76" w:rsidRPr="00924873" w:rsidRDefault="00337A76" w:rsidP="0096140A">
      <w:pPr>
        <w:pStyle w:val="ListParagraph"/>
        <w:numPr>
          <w:ilvl w:val="0"/>
          <w:numId w:val="9"/>
        </w:numPr>
        <w:spacing w:after="120"/>
        <w:ind w:left="0" w:firstLine="360"/>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Ведение аудиторных занятий, включая лекции, семинары, коллоквиумы, мастер-классы, научно-исследовательские семинары и иные виды занятий.</w:t>
      </w:r>
    </w:p>
    <w:p w:rsidR="00337A76" w:rsidRPr="00924873" w:rsidRDefault="00337A76" w:rsidP="0096140A">
      <w:pPr>
        <w:pStyle w:val="ListParagraph"/>
        <w:numPr>
          <w:ilvl w:val="0"/>
          <w:numId w:val="9"/>
        </w:numPr>
        <w:spacing w:after="120"/>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Очные консультации обучающимся (индивидуальные и групповые).</w:t>
      </w:r>
    </w:p>
    <w:p w:rsidR="00337A76" w:rsidRPr="00924873" w:rsidRDefault="00337A76" w:rsidP="0096140A">
      <w:pPr>
        <w:pStyle w:val="ListParagraph"/>
        <w:numPr>
          <w:ilvl w:val="0"/>
          <w:numId w:val="9"/>
        </w:numPr>
        <w:tabs>
          <w:tab w:val="num" w:pos="993"/>
        </w:tabs>
        <w:spacing w:after="120"/>
        <w:ind w:left="-142" w:firstLine="502"/>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Научное руководство курсовыми работами, практиками и практикумами, выпускными квалификационными работами (далее – ВКР) и диссертационными работами.</w:t>
      </w:r>
    </w:p>
    <w:p w:rsidR="00337A76" w:rsidRPr="00924873" w:rsidRDefault="00337A76" w:rsidP="0096140A">
      <w:pPr>
        <w:pStyle w:val="ListParagraph"/>
        <w:numPr>
          <w:ilvl w:val="0"/>
          <w:numId w:val="9"/>
        </w:numPr>
        <w:spacing w:after="120"/>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Проверка и оценка письменных работ обучающихся.</w:t>
      </w:r>
    </w:p>
    <w:p w:rsidR="00337A76" w:rsidRPr="00924873" w:rsidRDefault="00337A76" w:rsidP="0096140A">
      <w:pPr>
        <w:pStyle w:val="ListParagraph"/>
        <w:numPr>
          <w:ilvl w:val="0"/>
          <w:numId w:val="9"/>
        </w:numPr>
        <w:spacing w:after="120"/>
        <w:ind w:left="-142" w:firstLine="502"/>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Чтение и рецензирование письменных работ обучающихся, включая ВКР и диссертационные работы, рецензирование ВКР, участие в защитах ВКР и диссертационных работ.</w:t>
      </w:r>
    </w:p>
    <w:p w:rsidR="00337A76" w:rsidRPr="00924873" w:rsidRDefault="00337A76" w:rsidP="0096140A">
      <w:pPr>
        <w:pStyle w:val="ListParagraph"/>
        <w:numPr>
          <w:ilvl w:val="0"/>
          <w:numId w:val="9"/>
        </w:numPr>
        <w:spacing w:after="120"/>
        <w:ind w:left="-142" w:firstLine="502"/>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Принятие зачетов и экзаменов у обучающихся (включая устные зачеты и экзамены), принятие пересдач экзаменов и зачетов, участие в работе комиссий по пересдачам и апелляционных комиссий.</w:t>
      </w:r>
    </w:p>
    <w:p w:rsidR="00337A76" w:rsidRPr="00924873" w:rsidRDefault="00337A76" w:rsidP="0096140A">
      <w:pPr>
        <w:pStyle w:val="ListParagraph"/>
        <w:numPr>
          <w:ilvl w:val="0"/>
          <w:numId w:val="9"/>
        </w:numPr>
        <w:spacing w:after="120"/>
        <w:ind w:left="-142" w:firstLine="491"/>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Проведение научно-учебной и проектно-учебной деятельности с обучающимися.</w:t>
      </w:r>
    </w:p>
    <w:p w:rsidR="00337A76" w:rsidRPr="00924873" w:rsidRDefault="00337A76" w:rsidP="0096140A">
      <w:pPr>
        <w:pStyle w:val="ListParagraph"/>
        <w:numPr>
          <w:ilvl w:val="0"/>
          <w:numId w:val="9"/>
        </w:numPr>
        <w:spacing w:after="120"/>
        <w:ind w:left="-142" w:firstLine="502"/>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Проведение практической подготовки, разных видов практик, школ, экспедиций.</w:t>
      </w:r>
    </w:p>
    <w:p w:rsidR="00337A76" w:rsidRPr="00924873" w:rsidRDefault="00337A76" w:rsidP="0096140A">
      <w:pPr>
        <w:pStyle w:val="ListParagraph"/>
        <w:numPr>
          <w:ilvl w:val="0"/>
          <w:numId w:val="9"/>
        </w:numPr>
        <w:spacing w:after="120"/>
        <w:contextualSpacing w:val="0"/>
        <w:jc w:val="both"/>
        <w:rPr>
          <w:rFonts w:ascii="Times New Roman" w:hAnsi="Times New Roman"/>
          <w:color w:val="000000"/>
          <w:sz w:val="26"/>
          <w:szCs w:val="26"/>
          <w:lang w:eastAsia="ru-RU"/>
        </w:rPr>
      </w:pPr>
      <w:r w:rsidRPr="00924873">
        <w:rPr>
          <w:rFonts w:ascii="Times New Roman" w:hAnsi="Times New Roman"/>
          <w:sz w:val="26"/>
          <w:szCs w:val="26"/>
        </w:rPr>
        <w:t>Рецензирование работ в рамках конкурса НИРС НИУ ВШЭ.</w:t>
      </w:r>
    </w:p>
    <w:p w:rsidR="00337A76" w:rsidRPr="00924873" w:rsidRDefault="00337A76" w:rsidP="0096140A">
      <w:pPr>
        <w:pStyle w:val="ListParagraph"/>
        <w:numPr>
          <w:ilvl w:val="0"/>
          <w:numId w:val="9"/>
        </w:numPr>
        <w:spacing w:after="120"/>
        <w:ind w:left="-142" w:firstLine="502"/>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Создание и размещение образовательных ресурсов (программ учебных дисциплин, программ вступительных испытаний, тестов, материалов в </w:t>
      </w:r>
      <w:r w:rsidRPr="00924873">
        <w:rPr>
          <w:rFonts w:ascii="Times New Roman" w:hAnsi="Times New Roman"/>
          <w:color w:val="000000"/>
          <w:sz w:val="26"/>
          <w:szCs w:val="26"/>
          <w:lang w:val="en-US" w:eastAsia="ru-RU"/>
        </w:rPr>
        <w:t>LMS</w:t>
      </w:r>
      <w:r w:rsidRPr="00924873">
        <w:rPr>
          <w:rFonts w:ascii="Times New Roman" w:hAnsi="Times New Roman"/>
          <w:color w:val="000000"/>
          <w:sz w:val="26"/>
          <w:szCs w:val="26"/>
          <w:lang w:eastAsia="ru-RU"/>
        </w:rPr>
        <w:t xml:space="preserve">, подготовка </w:t>
      </w:r>
      <w:r w:rsidRPr="00924873">
        <w:rPr>
          <w:rFonts w:ascii="Times New Roman" w:hAnsi="Times New Roman"/>
          <w:color w:val="000000"/>
          <w:sz w:val="26"/>
          <w:szCs w:val="26"/>
          <w:lang w:val="en-US" w:eastAsia="ru-RU"/>
        </w:rPr>
        <w:t>MOOCs</w:t>
      </w:r>
      <w:r w:rsidRPr="00924873">
        <w:rPr>
          <w:rFonts w:ascii="Times New Roman" w:hAnsi="Times New Roman"/>
          <w:color w:val="000000"/>
          <w:sz w:val="26"/>
          <w:szCs w:val="26"/>
          <w:lang w:eastAsia="ru-RU"/>
        </w:rPr>
        <w:t>, иное).</w:t>
      </w:r>
    </w:p>
    <w:p w:rsidR="00337A76" w:rsidRPr="00924873" w:rsidRDefault="00337A76" w:rsidP="0096140A">
      <w:pPr>
        <w:pStyle w:val="ListParagraph"/>
        <w:numPr>
          <w:ilvl w:val="0"/>
          <w:numId w:val="9"/>
        </w:numPr>
        <w:spacing w:after="120"/>
        <w:contextualSpacing w:val="0"/>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Другие виды образовательной работы.</w:t>
      </w:r>
    </w:p>
    <w:p w:rsidR="00337A76" w:rsidRDefault="00337A76">
      <w:pPr>
        <w:rPr>
          <w:rFonts w:ascii="Times New Roman" w:hAnsi="Times New Roman"/>
          <w:color w:val="000000"/>
          <w:sz w:val="26"/>
          <w:szCs w:val="26"/>
          <w:lang w:eastAsia="ru-RU"/>
        </w:rPr>
      </w:pPr>
      <w:r>
        <w:rPr>
          <w:rFonts w:ascii="Times New Roman" w:hAnsi="Times New Roman"/>
          <w:color w:val="000000"/>
          <w:sz w:val="26"/>
          <w:szCs w:val="26"/>
          <w:lang w:eastAsia="ru-RU"/>
        </w:rPr>
        <w:br w:type="page"/>
      </w:r>
    </w:p>
    <w:p w:rsidR="00337A76" w:rsidRPr="00924873" w:rsidRDefault="00337A76" w:rsidP="0096140A">
      <w:pPr>
        <w:spacing w:after="120" w:line="240" w:lineRule="auto"/>
        <w:jc w:val="both"/>
        <w:rPr>
          <w:rFonts w:ascii="Times New Roman" w:hAnsi="Times New Roman"/>
          <w:color w:val="000000"/>
          <w:sz w:val="26"/>
          <w:szCs w:val="26"/>
          <w:lang w:eastAsia="ru-RU"/>
        </w:rPr>
      </w:pPr>
    </w:p>
    <w:p w:rsidR="00337A76" w:rsidRPr="00924873" w:rsidRDefault="00337A76" w:rsidP="0096140A">
      <w:pPr>
        <w:ind w:left="360"/>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r w:rsidRPr="00924873">
        <w:rPr>
          <w:rFonts w:ascii="Times New Roman" w:hAnsi="Times New Roman"/>
          <w:color w:val="000000"/>
          <w:sz w:val="26"/>
          <w:szCs w:val="26"/>
          <w:lang w:eastAsia="ru-RU"/>
        </w:rPr>
        <w:tab/>
        <w:t xml:space="preserve">Приложение 2  </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Концепции реализации единого контракта научно-педагогического работника Национального исследовательского университета «Высшая школа экономики»</w:t>
      </w:r>
    </w:p>
    <w:p w:rsidR="00337A76" w:rsidRPr="00924873" w:rsidRDefault="00337A76" w:rsidP="0096140A">
      <w:pPr>
        <w:spacing w:after="60"/>
        <w:rPr>
          <w:rFonts w:ascii="Times New Roman" w:hAnsi="Times New Roman"/>
          <w:b/>
          <w:color w:val="000000"/>
          <w:sz w:val="26"/>
          <w:szCs w:val="26"/>
          <w:lang w:eastAsia="ru-RU"/>
        </w:rPr>
      </w:pPr>
    </w:p>
    <w:p w:rsidR="00337A76" w:rsidRPr="00924873" w:rsidRDefault="00337A76" w:rsidP="0096140A">
      <w:pPr>
        <w:spacing w:after="60" w:line="240" w:lineRule="auto"/>
        <w:jc w:val="center"/>
        <w:rPr>
          <w:rFonts w:ascii="Times New Roman" w:hAnsi="Times New Roman"/>
          <w:b/>
          <w:color w:val="000000"/>
          <w:sz w:val="26"/>
          <w:szCs w:val="26"/>
          <w:lang w:eastAsia="ru-RU"/>
        </w:rPr>
      </w:pPr>
      <w:r w:rsidRPr="00924873">
        <w:rPr>
          <w:rFonts w:ascii="Times New Roman" w:hAnsi="Times New Roman"/>
          <w:b/>
          <w:color w:val="000000"/>
          <w:sz w:val="26"/>
          <w:szCs w:val="26"/>
          <w:lang w:eastAsia="ru-RU"/>
        </w:rPr>
        <w:t>Примерный перечень функций, которые относятся к организационным в случае, если не оплачиваются дополнительно (не является исчерпывающим):</w:t>
      </w:r>
    </w:p>
    <w:p w:rsidR="00337A76" w:rsidRPr="00924873" w:rsidRDefault="00337A76" w:rsidP="0096140A">
      <w:pPr>
        <w:spacing w:after="60"/>
        <w:jc w:val="center"/>
        <w:rPr>
          <w:rFonts w:ascii="Times New Roman" w:hAnsi="Times New Roman"/>
          <w:color w:val="000000"/>
          <w:sz w:val="26"/>
          <w:szCs w:val="26"/>
          <w:lang w:eastAsia="ru-RU"/>
        </w:rPr>
      </w:pP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Участие в работе коллегиальных органов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Работа в Приемной комиссии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Участие в Днях открытых дверей, проводимых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Выезд в другие образовательные учреждения с целью поиска абитуриентов и установления контактов (чтение лекций, проведение встреч в базовых школах, в других университетах).</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Разработка и проверка олимпиадных заданий, организация и проведение олимпиад для абитуриентов.</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Работа в зимних и летних школах для абитуриентов и студентов. </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Посещение занятий преподавателей НИУ ВШЭ с целью контроля качества преподавания и оказания преподавателям НИУ ВШЭ методической помощи. </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Кураторство студенческой группы.</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Тьюторство на факультетах.</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Посещение общежитий для контроля условий проживания студентов, взаимодействие со студенческим советом общежития.</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Участие в экспертизе проектов кадрового резерва, программы «Научный фонд», программы «Фонд образовательных инноваций», программы «Фонд развития инновационного предпринимательства», заявок, поступающих в Центр повышения квалификации и др.</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Участие в разработке и актуализации попечительских проектов и предложений о предоставлении пожертвований на цели деятельности университета (подразделения).</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Менторство (система наставников из числа старших коллег для младших), в том числе в рамках программы кадрового резерва</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Ведение интернет-страницы (сайта) структурного подразделения на корпоративном портале (сайте)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Пополнение и обновление различных баз данных корпоративного сайта (портала)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Работа в редколлегии и/или в редсовете средств массовой информации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Редактирование серий препринтов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Организация научных мероприятий: постоянно действующих научных семинаров подразделений, коллоквиумов, летних и зимних школ, студенческих конференций.</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·Организация визитов иностранных специалистов: подготовка заявок, переписка со специалистами, взаимодействие с визовым отделом, подготовка приказа, заказ гостиницы, билеты, подписание договора, организация докладов и семинаров с участием иностранного специалиста.</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Подготовка и подписание договоров с иностранными университетами: переговоры с партнерами, взаимодействие с международными службами ВШЭ, создание необходимых служебных записок, согласование текста договора.</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Репутационная деятельность: ведение блогов, страниц университета, своего подразделения в социальных сетях, съемка рекламных роликов, составление листовок и брошюр, распространение объявлений о выступлении иностранных специалистов, о летних и зимних школах.</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Подготовка новых образовательных программ – составление концепций, организация рецензирования программ, взаимодействие с партнерами. </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Рекрутинг магистрантов и аспирантов: переписка с потенциальными абитуриентами, консультация абитуриентов.</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Составление контрольно-измерительных материалов для лицензирования.</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Подготовка рекомендательных писем для студентов, которые подают документы для участия в стажировках или поступают в магистратуры и аспирантуры других стран.</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Работа в качестве секретаря государственной аттестационной комиссии.</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Участие в работе специализированных диссертационных советов.</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Работа в качестве членов программных и организационных комитетов научных и учебно-методических конференций, проводимых НИУ ВШЭ.</w:t>
      </w:r>
    </w:p>
    <w:p w:rsidR="00337A76" w:rsidRPr="00924873" w:rsidRDefault="00337A76" w:rsidP="0096140A">
      <w:pPr>
        <w:numPr>
          <w:ilvl w:val="0"/>
          <w:numId w:val="10"/>
        </w:numPr>
        <w:spacing w:after="120"/>
        <w:ind w:left="0" w:firstLine="709"/>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Другие виды полезной деятельности в интересах университета.</w:t>
      </w:r>
    </w:p>
    <w:p w:rsidR="00337A76" w:rsidRPr="00924873" w:rsidRDefault="00337A76" w:rsidP="0096140A">
      <w:pPr>
        <w:spacing w:after="120" w:line="240" w:lineRule="auto"/>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br w:type="page"/>
        <w:t>Приложение 3</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Концепции реализации единого контракта научно-педагогического работника Национального исследовательского университета «Высшая школа экономики»</w:t>
      </w:r>
    </w:p>
    <w:p w:rsidR="00337A76" w:rsidRPr="00924873" w:rsidRDefault="00337A76" w:rsidP="0096140A">
      <w:pPr>
        <w:spacing w:after="120" w:line="240" w:lineRule="auto"/>
        <w:ind w:left="360"/>
        <w:jc w:val="right"/>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p>
    <w:p w:rsidR="00337A76" w:rsidRPr="00924873" w:rsidRDefault="00337A76" w:rsidP="0096140A">
      <w:pPr>
        <w:spacing w:after="120" w:line="240" w:lineRule="auto"/>
        <w:jc w:val="center"/>
      </w:pPr>
      <w:r w:rsidRPr="00924873">
        <w:rPr>
          <w:rFonts w:ascii="Times New Roman" w:hAnsi="Times New Roman"/>
          <w:b/>
          <w:color w:val="000000"/>
          <w:sz w:val="26"/>
          <w:szCs w:val="26"/>
          <w:lang w:eastAsia="ru-RU"/>
        </w:rPr>
        <w:t>Примерный перечень коллегиальных органов</w:t>
      </w:r>
      <w:r w:rsidRPr="00924873">
        <w:rPr>
          <w:rFonts w:ascii="Times New Roman" w:hAnsi="Times New Roman"/>
          <w:b/>
          <w:color w:val="000000"/>
          <w:sz w:val="26"/>
          <w:szCs w:val="26"/>
        </w:rPr>
        <w:t xml:space="preserve"> НИУ ВШЭ (не является исчерпывающим)</w:t>
      </w:r>
      <w:r w:rsidRPr="00924873">
        <w:rPr>
          <w:rFonts w:ascii="Times New Roman" w:hAnsi="Times New Roman"/>
          <w:b/>
          <w:color w:val="000000"/>
          <w:sz w:val="26"/>
          <w:szCs w:val="26"/>
          <w:lang w:eastAsia="ru-RU"/>
        </w:rPr>
        <w:t>:</w:t>
      </w:r>
    </w:p>
    <w:p w:rsidR="00337A76" w:rsidRPr="00924873" w:rsidRDefault="00337A76" w:rsidP="0096140A">
      <w:pPr>
        <w:pStyle w:val="ListParagraph"/>
        <w:spacing w:after="0"/>
        <w:ind w:left="0" w:firstLine="709"/>
        <w:contextualSpacing w:val="0"/>
        <w:jc w:val="both"/>
        <w:rPr>
          <w:rFonts w:ascii="Times New Roman" w:hAnsi="Times New Roman"/>
          <w:sz w:val="26"/>
          <w:szCs w:val="26"/>
        </w:rPr>
      </w:pPr>
      <w:r w:rsidRPr="00924873">
        <w:rPr>
          <w:rFonts w:ascii="Times New Roman" w:hAnsi="Times New Roman"/>
          <w:sz w:val="26"/>
          <w:szCs w:val="26"/>
        </w:rPr>
        <w:t>1. Органы управления:</w:t>
      </w:r>
    </w:p>
    <w:p w:rsidR="00337A76" w:rsidRPr="00924873" w:rsidRDefault="00337A76" w:rsidP="0096140A">
      <w:pPr>
        <w:pStyle w:val="ListParagraph"/>
        <w:spacing w:after="0"/>
        <w:ind w:left="851" w:hanging="142"/>
        <w:contextualSpacing w:val="0"/>
        <w:jc w:val="both"/>
        <w:rPr>
          <w:rFonts w:ascii="Times New Roman" w:hAnsi="Times New Roman"/>
          <w:sz w:val="26"/>
          <w:szCs w:val="26"/>
        </w:rPr>
      </w:pPr>
      <w:r w:rsidRPr="00924873">
        <w:rPr>
          <w:rFonts w:ascii="Times New Roman" w:hAnsi="Times New Roman"/>
          <w:sz w:val="26"/>
          <w:szCs w:val="26"/>
        </w:rPr>
        <w:t>1.1. Наблюдательный совет.</w:t>
      </w:r>
    </w:p>
    <w:p w:rsidR="00337A76" w:rsidRPr="00924873" w:rsidRDefault="00337A76" w:rsidP="0096140A">
      <w:pPr>
        <w:pStyle w:val="ListParagraph"/>
        <w:spacing w:after="0"/>
        <w:ind w:left="284" w:firstLine="425"/>
        <w:contextualSpacing w:val="0"/>
        <w:jc w:val="both"/>
        <w:rPr>
          <w:rFonts w:ascii="Times New Roman" w:hAnsi="Times New Roman"/>
          <w:sz w:val="26"/>
          <w:szCs w:val="26"/>
        </w:rPr>
      </w:pPr>
      <w:r w:rsidRPr="00924873">
        <w:rPr>
          <w:rFonts w:ascii="Times New Roman" w:hAnsi="Times New Roman"/>
          <w:sz w:val="26"/>
          <w:szCs w:val="26"/>
        </w:rPr>
        <w:t xml:space="preserve">1.2. Ученый совет, включая его комиссии. </w:t>
      </w:r>
    </w:p>
    <w:p w:rsidR="00337A76" w:rsidRPr="00924873" w:rsidRDefault="00337A76" w:rsidP="0096140A">
      <w:pPr>
        <w:pStyle w:val="ListParagraph"/>
        <w:spacing w:after="0"/>
        <w:ind w:left="0" w:firstLine="709"/>
        <w:contextualSpacing w:val="0"/>
        <w:jc w:val="both"/>
        <w:rPr>
          <w:rFonts w:ascii="Times New Roman" w:hAnsi="Times New Roman"/>
          <w:sz w:val="26"/>
          <w:szCs w:val="26"/>
        </w:rPr>
      </w:pPr>
      <w:r w:rsidRPr="00924873">
        <w:rPr>
          <w:rFonts w:ascii="Times New Roman" w:hAnsi="Times New Roman"/>
          <w:sz w:val="26"/>
          <w:szCs w:val="26"/>
        </w:rPr>
        <w:t>2. Международный консультативный комитет, Коллегия ординарных профессоров, Финансовый комитет НИУ ВШЭ.</w:t>
      </w:r>
    </w:p>
    <w:p w:rsidR="00337A76" w:rsidRPr="00924873" w:rsidRDefault="00337A76" w:rsidP="0096140A">
      <w:pPr>
        <w:pStyle w:val="ListParagraph"/>
        <w:spacing w:after="0"/>
        <w:ind w:left="0" w:firstLine="709"/>
        <w:contextualSpacing w:val="0"/>
        <w:jc w:val="both"/>
        <w:rPr>
          <w:rFonts w:ascii="Times New Roman" w:hAnsi="Times New Roman"/>
          <w:sz w:val="26"/>
          <w:szCs w:val="26"/>
        </w:rPr>
      </w:pPr>
      <w:r w:rsidRPr="00924873">
        <w:rPr>
          <w:rFonts w:ascii="Times New Roman" w:hAnsi="Times New Roman"/>
          <w:sz w:val="26"/>
          <w:szCs w:val="26"/>
        </w:rPr>
        <w:t>3. Иные коллегиальные органы.</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 Комиссия по внутриуниверситетским опросам и этической оценке эмпирических исследовательских проектов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 Центральная экспертная комиссия по архивной работе НИУ ВШЭ.</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3.3. Комиссия по списанию находящегося в федеральной собственности недвижимого и движимого имущества, закрепленного на праве оперативного управления за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3.4. Комиссия общественного контроля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3.5.  Экзаменационная комиссия НИУ ВШЭ.</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3.6.  Общеуниверситетская стипендиальная комиссия, Общеуниверситетская комиссия по работе студентами.</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3.7. Учебно-методический совет, профессиональные коллегии Учебно-методического совета.</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3.8. Комитет по организации деятельности международных научно-исследовательских проектов с привлечением к руководству ведущих иностранных и российских ученых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 xml:space="preserve">3.9. Комитет инновационных технологий. </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3.10. Единая комиссия при проведении конкурсов и аукционов на право заключения договоров аренды объектов федерального недвижимого имущества, закрепленных за НИУ ВШЭ на праве оперативного управления.</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3.11. Комиссия по научно-исследовательской и научно-методической деятельности.</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3.12. Единая комиссия НИУ ВШЭ по осуществлению закупок за счет субсидий на осуществление капитальных вложений в объекты государственной собственности.</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3.13. Закупочная комиссия при ректоре НИУ ВШЭ.</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3.14. Комиссия по поддержке участия студентов и аспирантов в программах международной академической мобильности.</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3.15. Совет программы «Фонд образовательных инноваций»; Совет программы «Фонд поддержки инновационного предпринимательства».</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3.16. Общеуниверситетская комиссия по оценке публикационной активности.</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3.17. Совет программы «Научный фонд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3.18.  Координационная группа по приоритетному направлению развития.</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3.19.  Комиссия по закупкам баз данных.</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3.20. Комиссии по поддержке научных конференций.</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3.21. Комиссия по приглашению международных специалистов.</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3.22.  Совет Издательского дома.</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3.23. Комитет по международному рекрутингу, поисковые и отборочные комиссии в рамках международного рекрутинга.</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3.24. Академические советы образовательных программ.</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3.25 Конкурсная комиссии по научно-исследовательским работам студентов.</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3.26 Комиссия по проведению студенческой олимпиады.</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3.27. Экспертный совет по научным исследованиям НИУ ВШЭ.</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3.28. Совет по мониторинговым исследованиям НИУ ВШЭ.</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3.29. Комиссия по отбору заявок на поддержку и развитие международных научных партнерств.</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4. Коллегиальные органы структурных подразделений:</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4.1.  ученый совет факультета, комиссии и секции ученого совета факультета, научный совет научного структурного подразделения.</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4.2.  Кадровая комиссия факультета или иного структурного подразделения НИУ ВШЭ, реализующего образовательные программы высшего образования.</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4.3. Аттестационные комиссии образовательных программ высшего образования.</w:t>
      </w:r>
    </w:p>
    <w:p w:rsidR="00337A76" w:rsidRPr="00924873" w:rsidDel="00F53384"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4.4.  Научные, образовательные, методические, финансовые, социальные, международные и другие комиссии, создаваемые в рамках факультетов, школ, департаментов.</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4.5. Экспертно-методические советы.</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5. Координационные и экспертные группы:</w:t>
      </w:r>
    </w:p>
    <w:p w:rsidR="00337A76" w:rsidRPr="00924873" w:rsidRDefault="00337A76" w:rsidP="0096140A">
      <w:pPr>
        <w:pStyle w:val="ListParagraph"/>
        <w:spacing w:after="0"/>
        <w:ind w:left="284" w:firstLine="424"/>
        <w:contextualSpacing w:val="0"/>
        <w:jc w:val="both"/>
        <w:rPr>
          <w:rFonts w:ascii="Times New Roman" w:hAnsi="Times New Roman"/>
          <w:sz w:val="26"/>
          <w:szCs w:val="26"/>
        </w:rPr>
      </w:pPr>
      <w:r w:rsidRPr="00924873">
        <w:rPr>
          <w:rFonts w:ascii="Times New Roman" w:hAnsi="Times New Roman"/>
          <w:sz w:val="26"/>
          <w:szCs w:val="26"/>
        </w:rPr>
        <w:t>5.1. экспертная группа Дирекции по корпоративным закупкам и торгам.</w:t>
      </w:r>
    </w:p>
    <w:p w:rsidR="00337A76" w:rsidRPr="00924873" w:rsidRDefault="00337A76" w:rsidP="0096140A">
      <w:pPr>
        <w:pStyle w:val="ListParagraph"/>
        <w:spacing w:after="0"/>
        <w:ind w:left="0" w:firstLine="708"/>
        <w:contextualSpacing w:val="0"/>
        <w:jc w:val="both"/>
        <w:rPr>
          <w:rFonts w:ascii="Times New Roman" w:hAnsi="Times New Roman"/>
          <w:sz w:val="26"/>
          <w:szCs w:val="26"/>
        </w:rPr>
      </w:pPr>
      <w:r w:rsidRPr="00924873">
        <w:rPr>
          <w:rFonts w:ascii="Times New Roman" w:hAnsi="Times New Roman"/>
          <w:sz w:val="26"/>
          <w:szCs w:val="26"/>
        </w:rPr>
        <w:t>5.2. международный экспертный совет по приоритетному направлению развития.</w:t>
      </w:r>
    </w:p>
    <w:p w:rsidR="00337A76" w:rsidRPr="00924873" w:rsidRDefault="00337A76" w:rsidP="0096140A">
      <w:pPr>
        <w:spacing w:after="120"/>
        <w:ind w:firstLine="708"/>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6. Другие коллегиальный органы университета и его структурных подразделений.</w:t>
      </w:r>
    </w:p>
    <w:p w:rsidR="00337A76" w:rsidRPr="00924873" w:rsidRDefault="00337A76" w:rsidP="0096140A">
      <w:pPr>
        <w:spacing w:after="120" w:line="240" w:lineRule="auto"/>
        <w:ind w:firstLine="708"/>
        <w:jc w:val="both"/>
        <w:rPr>
          <w:rFonts w:ascii="Times New Roman" w:hAnsi="Times New Roman"/>
          <w:color w:val="000000"/>
          <w:sz w:val="26"/>
          <w:szCs w:val="26"/>
          <w:lang w:eastAsia="ru-RU"/>
        </w:rPr>
      </w:pPr>
    </w:p>
    <w:p w:rsidR="00337A76" w:rsidRPr="00924873" w:rsidRDefault="00337A76" w:rsidP="0096140A">
      <w:pPr>
        <w:spacing w:after="120" w:line="240" w:lineRule="auto"/>
        <w:jc w:val="both"/>
        <w:rPr>
          <w:rFonts w:ascii="Times New Roman" w:hAnsi="Times New Roman"/>
          <w:color w:val="000000"/>
          <w:sz w:val="26"/>
          <w:szCs w:val="26"/>
          <w:lang w:eastAsia="ru-RU"/>
        </w:rPr>
      </w:pPr>
    </w:p>
    <w:p w:rsidR="00337A76" w:rsidRPr="00924873" w:rsidRDefault="00337A76" w:rsidP="0096140A">
      <w:pPr>
        <w:spacing w:after="120" w:line="240" w:lineRule="auto"/>
        <w:ind w:firstLine="708"/>
        <w:jc w:val="both"/>
        <w:rPr>
          <w:rFonts w:ascii="Times New Roman" w:hAnsi="Times New Roman"/>
          <w:color w:val="000000"/>
          <w:sz w:val="26"/>
          <w:szCs w:val="26"/>
          <w:lang w:eastAsia="ru-RU"/>
        </w:rPr>
      </w:pP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Приложение 4</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Концепции реализации единого контракта научно-педагогического работника Национального исследовательского университета «Высшая школа экономики»</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p>
    <w:p w:rsidR="00337A76" w:rsidRPr="00924873" w:rsidRDefault="00337A76" w:rsidP="0096140A">
      <w:pPr>
        <w:spacing w:before="240" w:after="240" w:line="240" w:lineRule="auto"/>
        <w:ind w:left="567" w:hanging="567"/>
        <w:jc w:val="center"/>
        <w:rPr>
          <w:rFonts w:ascii="Times New Roman" w:hAnsi="Times New Roman"/>
          <w:b/>
          <w:sz w:val="26"/>
          <w:szCs w:val="26"/>
        </w:rPr>
      </w:pPr>
      <w:r w:rsidRPr="00924873">
        <w:rPr>
          <w:rFonts w:ascii="Times New Roman" w:hAnsi="Times New Roman"/>
          <w:b/>
          <w:sz w:val="26"/>
          <w:szCs w:val="26"/>
        </w:rPr>
        <w:t>Примерный перечень критериев и показателей оценивания субститутов исследовательской работы для образовательно-методической траектории</w:t>
      </w:r>
    </w:p>
    <w:p w:rsidR="00337A76" w:rsidRPr="00924873" w:rsidRDefault="00337A76" w:rsidP="0096140A">
      <w:pPr>
        <w:spacing w:after="0"/>
        <w:ind w:firstLine="567"/>
        <w:jc w:val="both"/>
        <w:rPr>
          <w:rFonts w:ascii="Times New Roman" w:hAnsi="Times New Roman"/>
          <w:sz w:val="26"/>
          <w:szCs w:val="26"/>
        </w:rPr>
      </w:pPr>
      <w:r w:rsidRPr="00924873">
        <w:rPr>
          <w:rFonts w:ascii="Times New Roman" w:hAnsi="Times New Roman"/>
          <w:sz w:val="26"/>
          <w:szCs w:val="26"/>
        </w:rPr>
        <w:t>К таким критериям и показателям могут относиться:</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Средний уровень студенческой оценки преподавания не ниже 4,0;</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Наличие звания «Лучший преподаватель» не менее трех лет за последнее пятилетие;</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Победы в конкурсах Фонда образовательных инноваций;</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Запись онлайн-курсов с последующим вовлечением более 10 тыс. слушателей;</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Записи лекций на крупнейших просветительских ресурсах с более 10 тыс. просмотров;</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Регулярное чтение публичных лекций на крупные аудитории;</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Подготовка победителей всероссийских и международных олимпиад.</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Публикация учебников и учебных пособий;</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Разработка авторских методических материалов, используемых за пределами собственных учебных дисциплин;</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Разработка контрольно-измерительных материалов, составление сборников задач, упражнений, тестов, используемых за пределами собственных учебных дисциплин;</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 xml:space="preserve">Разработка, методическая и техническая поддержка успешных онлайн-курсов и онлайн-программ; </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Регулярное чтение курсов по повышению квалификации для работников университета;</w:t>
      </w:r>
    </w:p>
    <w:p w:rsidR="00337A76" w:rsidRPr="00924873" w:rsidRDefault="00337A76" w:rsidP="0096140A">
      <w:pPr>
        <w:pStyle w:val="ListParagraph"/>
        <w:numPr>
          <w:ilvl w:val="0"/>
          <w:numId w:val="18"/>
        </w:numPr>
        <w:spacing w:after="0"/>
        <w:ind w:left="0" w:firstLine="0"/>
        <w:contextualSpacing w:val="0"/>
        <w:jc w:val="both"/>
        <w:rPr>
          <w:rFonts w:ascii="Times New Roman" w:hAnsi="Times New Roman"/>
          <w:sz w:val="26"/>
          <w:szCs w:val="26"/>
        </w:rPr>
      </w:pPr>
      <w:r w:rsidRPr="00924873">
        <w:rPr>
          <w:rFonts w:ascii="Times New Roman" w:hAnsi="Times New Roman"/>
          <w:sz w:val="26"/>
          <w:szCs w:val="26"/>
        </w:rPr>
        <w:t xml:space="preserve">Участие в программах </w:t>
      </w:r>
      <w:r w:rsidRPr="00924873">
        <w:rPr>
          <w:rFonts w:ascii="Times New Roman" w:hAnsi="Times New Roman"/>
          <w:sz w:val="26"/>
          <w:szCs w:val="26"/>
          <w:lang w:val="en-US"/>
        </w:rPr>
        <w:t>Teach4HSE</w:t>
      </w:r>
      <w:r w:rsidRPr="00924873">
        <w:rPr>
          <w:rFonts w:ascii="Times New Roman" w:hAnsi="Times New Roman"/>
          <w:sz w:val="26"/>
          <w:szCs w:val="26"/>
        </w:rPr>
        <w:t>.</w:t>
      </w:r>
    </w:p>
    <w:p w:rsidR="00337A76" w:rsidRPr="00924873" w:rsidRDefault="00337A76" w:rsidP="0096140A">
      <w:pPr>
        <w:spacing w:before="240" w:after="240" w:line="240" w:lineRule="auto"/>
        <w:ind w:left="567" w:hanging="567"/>
        <w:jc w:val="center"/>
        <w:rPr>
          <w:rFonts w:ascii="Times New Roman" w:hAnsi="Times New Roman"/>
          <w:b/>
          <w:sz w:val="26"/>
          <w:szCs w:val="26"/>
        </w:rPr>
      </w:pPr>
    </w:p>
    <w:p w:rsidR="00337A76" w:rsidRPr="00924873" w:rsidRDefault="00337A76" w:rsidP="0096140A">
      <w:pPr>
        <w:spacing w:before="240" w:after="240" w:line="240" w:lineRule="auto"/>
        <w:rPr>
          <w:rFonts w:ascii="Times New Roman" w:hAnsi="Times New Roman"/>
          <w:b/>
          <w:sz w:val="26"/>
          <w:szCs w:val="26"/>
        </w:rPr>
      </w:pPr>
    </w:p>
    <w:p w:rsidR="00337A76" w:rsidRPr="00924873" w:rsidRDefault="00337A76" w:rsidP="0096140A">
      <w:pPr>
        <w:spacing w:before="240" w:after="240" w:line="240" w:lineRule="auto"/>
        <w:rPr>
          <w:rFonts w:ascii="Times New Roman" w:hAnsi="Times New Roman"/>
          <w:b/>
          <w:sz w:val="26"/>
          <w:szCs w:val="26"/>
        </w:rPr>
      </w:pPr>
    </w:p>
    <w:p w:rsidR="00337A76" w:rsidRPr="00924873" w:rsidRDefault="00337A76" w:rsidP="0096140A">
      <w:pPr>
        <w:spacing w:before="240" w:after="240" w:line="240" w:lineRule="auto"/>
        <w:rPr>
          <w:rFonts w:ascii="Times New Roman" w:hAnsi="Times New Roman"/>
          <w:b/>
          <w:sz w:val="26"/>
          <w:szCs w:val="26"/>
        </w:rPr>
      </w:pPr>
      <w:r w:rsidRPr="00924873">
        <w:rPr>
          <w:rFonts w:ascii="Times New Roman" w:hAnsi="Times New Roman"/>
          <w:b/>
          <w:sz w:val="26"/>
          <w:szCs w:val="26"/>
        </w:rPr>
        <w:br w:type="page"/>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Приложение 5</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 xml:space="preserve"> </w:t>
      </w:r>
    </w:p>
    <w:p w:rsidR="00337A76" w:rsidRPr="00924873" w:rsidRDefault="00337A76" w:rsidP="0096140A">
      <w:pPr>
        <w:spacing w:after="0" w:line="240" w:lineRule="auto"/>
        <w:ind w:left="4962" w:right="424"/>
        <w:jc w:val="both"/>
        <w:rPr>
          <w:rFonts w:ascii="Times New Roman" w:hAnsi="Times New Roman"/>
          <w:color w:val="000000"/>
          <w:sz w:val="26"/>
          <w:szCs w:val="26"/>
          <w:lang w:eastAsia="ru-RU"/>
        </w:rPr>
      </w:pPr>
      <w:r w:rsidRPr="00924873">
        <w:rPr>
          <w:rFonts w:ascii="Times New Roman" w:hAnsi="Times New Roman"/>
          <w:color w:val="000000"/>
          <w:sz w:val="26"/>
          <w:szCs w:val="26"/>
          <w:lang w:eastAsia="ru-RU"/>
        </w:rPr>
        <w:t>к Концепции реализации единого контракта научно-педагогического работника Национального исследовательского университета «Высшая школа экономики»</w:t>
      </w:r>
    </w:p>
    <w:p w:rsidR="00337A76" w:rsidRPr="00924873" w:rsidRDefault="00337A76" w:rsidP="0096140A">
      <w:pPr>
        <w:spacing w:before="240" w:after="240" w:line="240" w:lineRule="auto"/>
        <w:ind w:left="567" w:hanging="567"/>
        <w:jc w:val="center"/>
        <w:rPr>
          <w:rFonts w:ascii="Times New Roman" w:hAnsi="Times New Roman"/>
          <w:b/>
          <w:sz w:val="26"/>
          <w:szCs w:val="26"/>
        </w:rPr>
      </w:pPr>
    </w:p>
    <w:p w:rsidR="00337A76" w:rsidRPr="00924873" w:rsidRDefault="00337A76" w:rsidP="0096140A">
      <w:pPr>
        <w:spacing w:before="240" w:after="240" w:line="240" w:lineRule="auto"/>
        <w:ind w:left="567" w:hanging="567"/>
        <w:jc w:val="center"/>
        <w:rPr>
          <w:rFonts w:ascii="Times New Roman" w:hAnsi="Times New Roman"/>
          <w:b/>
          <w:sz w:val="26"/>
          <w:szCs w:val="26"/>
        </w:rPr>
      </w:pPr>
      <w:r w:rsidRPr="00924873">
        <w:rPr>
          <w:rFonts w:ascii="Times New Roman" w:hAnsi="Times New Roman"/>
          <w:b/>
          <w:sz w:val="26"/>
          <w:szCs w:val="26"/>
        </w:rPr>
        <w:t>Примерный перечень критериев и показателей оценивания субститутов исследовательской работы для практико-ориентированной траектории</w:t>
      </w:r>
    </w:p>
    <w:p w:rsidR="00337A76" w:rsidRPr="00924873" w:rsidRDefault="00337A76" w:rsidP="0096140A">
      <w:pPr>
        <w:spacing w:after="120"/>
        <w:ind w:firstLine="567"/>
        <w:jc w:val="both"/>
        <w:rPr>
          <w:rFonts w:ascii="Times New Roman" w:hAnsi="Times New Roman"/>
          <w:sz w:val="26"/>
          <w:szCs w:val="26"/>
        </w:rPr>
      </w:pPr>
      <w:r w:rsidRPr="00924873">
        <w:rPr>
          <w:rFonts w:ascii="Times New Roman" w:hAnsi="Times New Roman"/>
          <w:sz w:val="26"/>
          <w:szCs w:val="26"/>
        </w:rPr>
        <w:t>К таким критериям и показателям могут относиться:</w:t>
      </w:r>
    </w:p>
    <w:p w:rsidR="00337A76" w:rsidRPr="00924873" w:rsidRDefault="00337A76" w:rsidP="0096140A">
      <w:pPr>
        <w:numPr>
          <w:ilvl w:val="0"/>
          <w:numId w:val="21"/>
        </w:numPr>
        <w:spacing w:after="0"/>
        <w:ind w:left="0" w:firstLine="567"/>
        <w:jc w:val="both"/>
        <w:rPr>
          <w:rFonts w:ascii="Times New Roman" w:hAnsi="Times New Roman"/>
          <w:sz w:val="26"/>
          <w:szCs w:val="26"/>
        </w:rPr>
      </w:pPr>
      <w:r w:rsidRPr="00924873">
        <w:rPr>
          <w:rFonts w:ascii="Times New Roman" w:hAnsi="Times New Roman"/>
          <w:sz w:val="26"/>
          <w:szCs w:val="26"/>
        </w:rPr>
        <w:t xml:space="preserve">Деятельность по основному месту работы в неакадемических организациях или неакадемическая деятельность в академических организациях, включая стаж такой работы, профессиональный опыт и уровень занимаемых должностей </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Практическая работа (преимущественно в неакадемических организациях или в качестве самозанятого в индустрии) не более двух лет назад;</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Совмещение работы в университете с текущим совместительством в неакадемических организациях или с занятиями неакадемической деятельностью;</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Регистрация патентов, результатов интеллектуальной деятельности</w:t>
      </w:r>
      <w:r w:rsidRPr="00924873">
        <w:rPr>
          <w:rStyle w:val="FootnoteReference"/>
          <w:rFonts w:ascii="Times New Roman" w:hAnsi="Times New Roman"/>
          <w:sz w:val="26"/>
          <w:szCs w:val="26"/>
        </w:rPr>
        <w:footnoteReference w:id="5"/>
      </w:r>
      <w:r w:rsidRPr="00924873">
        <w:rPr>
          <w:rFonts w:ascii="Times New Roman" w:hAnsi="Times New Roman"/>
          <w:sz w:val="26"/>
          <w:szCs w:val="26"/>
        </w:rPr>
        <w:t>;</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Консультационная работа с внешними неакадемическими организациями или консультирование физических лиц, подтвержденные договорами о таком консультировании:</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Организация в университете прикладных проектов с внешними источниками финансирования;</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Регулярное участие в прикладных работах университета по договорам с неакадемическими организациями;</w:t>
      </w:r>
    </w:p>
    <w:p w:rsidR="00337A76" w:rsidRPr="00924873" w:rsidRDefault="00337A76" w:rsidP="0096140A">
      <w:pPr>
        <w:pStyle w:val="ListParagraph"/>
        <w:numPr>
          <w:ilvl w:val="0"/>
          <w:numId w:val="21"/>
        </w:numPr>
        <w:spacing w:after="0"/>
        <w:ind w:left="0" w:firstLine="567"/>
        <w:contextualSpacing w:val="0"/>
        <w:jc w:val="both"/>
        <w:rPr>
          <w:rFonts w:ascii="Times New Roman" w:hAnsi="Times New Roman"/>
          <w:sz w:val="26"/>
          <w:szCs w:val="26"/>
        </w:rPr>
      </w:pPr>
      <w:r w:rsidRPr="00924873">
        <w:rPr>
          <w:rFonts w:ascii="Times New Roman" w:hAnsi="Times New Roman"/>
          <w:sz w:val="26"/>
          <w:szCs w:val="26"/>
        </w:rPr>
        <w:t>Наличие профессиональных наград и званий в сфере основной деятельности.</w:t>
      </w:r>
    </w:p>
    <w:p w:rsidR="00337A76" w:rsidRPr="00A5751C" w:rsidRDefault="00337A76" w:rsidP="0096140A">
      <w:pPr>
        <w:spacing w:after="120" w:line="240" w:lineRule="auto"/>
        <w:ind w:firstLine="567"/>
        <w:jc w:val="both"/>
        <w:rPr>
          <w:rFonts w:ascii="Times New Roman" w:hAnsi="Times New Roman"/>
          <w:color w:val="000000"/>
          <w:sz w:val="26"/>
          <w:szCs w:val="26"/>
          <w:lang w:eastAsia="ru-RU"/>
        </w:rPr>
      </w:pPr>
    </w:p>
    <w:p w:rsidR="00337A76" w:rsidRPr="00736E4B" w:rsidRDefault="00337A76" w:rsidP="0096140A">
      <w:pPr>
        <w:pStyle w:val="ListParagraph"/>
        <w:tabs>
          <w:tab w:val="left" w:pos="1134"/>
        </w:tabs>
        <w:spacing w:after="0" w:line="240" w:lineRule="auto"/>
        <w:ind w:left="360"/>
        <w:jc w:val="both"/>
        <w:rPr>
          <w:rFonts w:ascii="Times New Roman" w:hAnsi="Times New Roman"/>
          <w:sz w:val="26"/>
          <w:szCs w:val="26"/>
        </w:rPr>
      </w:pPr>
    </w:p>
    <w:sectPr w:rsidR="00337A76" w:rsidRPr="00736E4B" w:rsidSect="00B750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76" w:rsidRDefault="00337A76" w:rsidP="00FB7D3F">
      <w:pPr>
        <w:spacing w:after="0" w:line="240" w:lineRule="auto"/>
      </w:pPr>
      <w:r>
        <w:separator/>
      </w:r>
    </w:p>
  </w:endnote>
  <w:endnote w:type="continuationSeparator" w:id="0">
    <w:p w:rsidR="00337A76" w:rsidRDefault="00337A76" w:rsidP="00FB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76" w:rsidRDefault="00337A76" w:rsidP="00FB7D3F">
      <w:pPr>
        <w:spacing w:after="0" w:line="240" w:lineRule="auto"/>
      </w:pPr>
      <w:r>
        <w:separator/>
      </w:r>
    </w:p>
  </w:footnote>
  <w:footnote w:type="continuationSeparator" w:id="0">
    <w:p w:rsidR="00337A76" w:rsidRDefault="00337A76" w:rsidP="00FB7D3F">
      <w:pPr>
        <w:spacing w:after="0" w:line="240" w:lineRule="auto"/>
      </w:pPr>
      <w:r>
        <w:continuationSeparator/>
      </w:r>
    </w:p>
  </w:footnote>
  <w:footnote w:id="1">
    <w:p w:rsidR="00337A76" w:rsidRDefault="00337A76" w:rsidP="00B75070">
      <w:pPr>
        <w:pStyle w:val="FootnoteText"/>
        <w:spacing w:after="120"/>
        <w:jc w:val="both"/>
      </w:pPr>
      <w:r w:rsidRPr="00523BB0">
        <w:rPr>
          <w:rStyle w:val="FootnoteReference"/>
          <w:sz w:val="22"/>
          <w:szCs w:val="22"/>
        </w:rPr>
        <w:footnoteRef/>
      </w:r>
      <w:r w:rsidRPr="00523BB0">
        <w:rPr>
          <w:sz w:val="22"/>
          <w:szCs w:val="22"/>
        </w:rPr>
        <w:t xml:space="preserve"> </w:t>
      </w:r>
      <w:r w:rsidRPr="0096140A">
        <w:rPr>
          <w:color w:val="auto"/>
          <w:kern w:val="0"/>
          <w:sz w:val="22"/>
          <w:szCs w:val="26"/>
          <w:lang w:eastAsia="en-US"/>
        </w:rPr>
        <w:t>Учитываются патенты на изобретения, патенты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footnote>
  <w:footnote w:id="2">
    <w:p w:rsidR="00337A76" w:rsidRDefault="00337A76" w:rsidP="0096140A">
      <w:pPr>
        <w:pStyle w:val="FootnoteText"/>
        <w:spacing w:after="120"/>
        <w:ind w:left="227" w:hanging="227"/>
        <w:jc w:val="both"/>
      </w:pPr>
      <w:r w:rsidRPr="00A5751C">
        <w:rPr>
          <w:rStyle w:val="FootnoteReference"/>
          <w:sz w:val="22"/>
          <w:szCs w:val="22"/>
        </w:rPr>
        <w:footnoteRef/>
      </w:r>
      <w:r w:rsidRPr="00A5751C">
        <w:rPr>
          <w:sz w:val="22"/>
          <w:szCs w:val="22"/>
        </w:rPr>
        <w:t xml:space="preserve"> </w:t>
      </w:r>
      <w:r w:rsidRPr="0096140A">
        <w:rPr>
          <w:color w:val="auto"/>
          <w:kern w:val="0"/>
          <w:sz w:val="22"/>
          <w:szCs w:val="26"/>
          <w:lang w:eastAsia="en-US"/>
        </w:rPr>
        <w:t xml:space="preserve">В соответствии с Регламентом оценки публикационной активности научных работников Национального исследовательского университета «Высшая школа экономики»,  «Критериям оценки публикационной активности научных работников НИУ ВШЭ и требованиям к публикациям» и Приложением 4 «Критерии соответствия претендентов  на должности ППС НИУ ВШЭ критериям оценки ППС, установленным в НИУ ВШЭ» к Регламенту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в структурные подразделения Национального исследовательского университета «Высшая школа экономики». </w:t>
      </w:r>
    </w:p>
  </w:footnote>
  <w:footnote w:id="3">
    <w:p w:rsidR="00337A76" w:rsidRDefault="00337A76" w:rsidP="0096140A">
      <w:pPr>
        <w:pStyle w:val="FootnoteText"/>
        <w:spacing w:after="120"/>
        <w:ind w:left="227" w:hanging="227"/>
        <w:jc w:val="both"/>
      </w:pPr>
      <w:r w:rsidRPr="00E031BB">
        <w:rPr>
          <w:rStyle w:val="FootnoteReference"/>
        </w:rPr>
        <w:footnoteRef/>
      </w:r>
      <w:r w:rsidRPr="00E031BB">
        <w:t xml:space="preserve"> </w:t>
      </w:r>
      <w:r w:rsidRPr="0096140A">
        <w:rPr>
          <w:color w:val="auto"/>
          <w:kern w:val="0"/>
          <w:sz w:val="22"/>
          <w:szCs w:val="26"/>
          <w:lang w:eastAsia="en-US"/>
        </w:rPr>
        <w:t>За исключением международных специалистов, для которых установлена особая форма отчетности.</w:t>
      </w:r>
    </w:p>
  </w:footnote>
  <w:footnote w:id="4">
    <w:p w:rsidR="00337A76" w:rsidRDefault="00337A76" w:rsidP="0096140A">
      <w:pPr>
        <w:pStyle w:val="FootnoteText"/>
        <w:spacing w:after="120"/>
        <w:jc w:val="both"/>
      </w:pPr>
      <w:r w:rsidRPr="006D30A2">
        <w:rPr>
          <w:rStyle w:val="FootnoteReference"/>
        </w:rPr>
        <w:footnoteRef/>
      </w:r>
      <w:r w:rsidRPr="006D30A2">
        <w:t xml:space="preserve"> </w:t>
      </w:r>
      <w:r w:rsidRPr="0096140A">
        <w:rPr>
          <w:color w:val="auto"/>
          <w:kern w:val="0"/>
          <w:sz w:val="22"/>
          <w:szCs w:val="26"/>
          <w:lang w:eastAsia="en-US"/>
        </w:rPr>
        <w:t>Виды учебной нагрузки на соответствующий год утверждаются соответствующими локальными нормативными актами НИУ ВШЭ.</w:t>
      </w:r>
    </w:p>
  </w:footnote>
  <w:footnote w:id="5">
    <w:p w:rsidR="00337A76" w:rsidRDefault="00337A76" w:rsidP="00B75070">
      <w:pPr>
        <w:pStyle w:val="FootnoteText"/>
        <w:spacing w:after="120"/>
        <w:jc w:val="both"/>
      </w:pPr>
      <w:r w:rsidRPr="00523BB0">
        <w:rPr>
          <w:rStyle w:val="FootnoteReference"/>
          <w:sz w:val="22"/>
          <w:szCs w:val="22"/>
        </w:rPr>
        <w:footnoteRef/>
      </w:r>
      <w:r w:rsidRPr="00523BB0">
        <w:rPr>
          <w:sz w:val="22"/>
          <w:szCs w:val="22"/>
        </w:rPr>
        <w:t xml:space="preserve"> </w:t>
      </w:r>
      <w:r w:rsidRPr="0096140A">
        <w:rPr>
          <w:color w:val="auto"/>
          <w:kern w:val="0"/>
          <w:sz w:val="22"/>
          <w:szCs w:val="26"/>
          <w:lang w:eastAsia="en-US"/>
        </w:rPr>
        <w:t>Учитываются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76" w:rsidRDefault="00337A76">
    <w:pPr>
      <w:pStyle w:val="Header"/>
      <w:jc w:val="right"/>
    </w:pPr>
    <w:fldSimple w:instr="PAGE   \* MERGEFORMAT">
      <w:r>
        <w:rPr>
          <w:noProof/>
        </w:rPr>
        <w:t>2</w:t>
      </w:r>
    </w:fldSimple>
  </w:p>
  <w:p w:rsidR="00337A76" w:rsidRDefault="00337A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82B"/>
    <w:multiLevelType w:val="multilevel"/>
    <w:tmpl w:val="440A8280"/>
    <w:lvl w:ilvl="0">
      <w:start w:val="1"/>
      <w:numFmt w:val="decimal"/>
      <w:suff w:val="space"/>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058604EE"/>
    <w:multiLevelType w:val="hybridMultilevel"/>
    <w:tmpl w:val="97AE6E44"/>
    <w:lvl w:ilvl="0" w:tplc="57DE4E4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8136FE"/>
    <w:multiLevelType w:val="multilevel"/>
    <w:tmpl w:val="FABC83F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FF5AD2"/>
    <w:multiLevelType w:val="hybridMultilevel"/>
    <w:tmpl w:val="E88CE8C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036E85"/>
    <w:multiLevelType w:val="hybridMultilevel"/>
    <w:tmpl w:val="86C47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386569"/>
    <w:multiLevelType w:val="hybridMultilevel"/>
    <w:tmpl w:val="ACAE3DC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62517C"/>
    <w:multiLevelType w:val="hybridMultilevel"/>
    <w:tmpl w:val="6D4A2670"/>
    <w:lvl w:ilvl="0" w:tplc="6390F6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E326E3"/>
    <w:multiLevelType w:val="hybridMultilevel"/>
    <w:tmpl w:val="18BA1D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4935CC8"/>
    <w:multiLevelType w:val="hybridMultilevel"/>
    <w:tmpl w:val="762CE3D6"/>
    <w:lvl w:ilvl="0" w:tplc="FC76EB18">
      <w:start w:val="1"/>
      <w:numFmt w:val="decimal"/>
      <w:suff w:val="space"/>
      <w:lvlText w:val="%1."/>
      <w:lvlJc w:val="left"/>
      <w:pPr>
        <w:ind w:left="360" w:hanging="360"/>
      </w:pPr>
      <w:rPr>
        <w:rFonts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9">
    <w:nsid w:val="334D5040"/>
    <w:multiLevelType w:val="hybridMultilevel"/>
    <w:tmpl w:val="00AC319E"/>
    <w:lvl w:ilvl="0" w:tplc="6390F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FF71B0"/>
    <w:multiLevelType w:val="hybridMultilevel"/>
    <w:tmpl w:val="E520B93E"/>
    <w:lvl w:ilvl="0" w:tplc="99E4703A">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6D53EE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6FA446A"/>
    <w:multiLevelType w:val="hybridMultilevel"/>
    <w:tmpl w:val="63FC2254"/>
    <w:lvl w:ilvl="0" w:tplc="61D4926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010A4"/>
    <w:multiLevelType w:val="hybridMultilevel"/>
    <w:tmpl w:val="6478F07A"/>
    <w:lvl w:ilvl="0" w:tplc="85E4E6AE">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95819CA"/>
    <w:multiLevelType w:val="multilevel"/>
    <w:tmpl w:val="2F40F802"/>
    <w:lvl w:ilvl="0">
      <w:start w:val="17"/>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3BEA42B5"/>
    <w:multiLevelType w:val="hybridMultilevel"/>
    <w:tmpl w:val="ACAE3DC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7470B6"/>
    <w:multiLevelType w:val="hybridMultilevel"/>
    <w:tmpl w:val="9DC04EA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D9156D"/>
    <w:multiLevelType w:val="hybridMultilevel"/>
    <w:tmpl w:val="79A41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D25E3D"/>
    <w:multiLevelType w:val="hybridMultilevel"/>
    <w:tmpl w:val="81F4D322"/>
    <w:lvl w:ilvl="0" w:tplc="53AEB6FC">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1EF5E12"/>
    <w:multiLevelType w:val="hybridMultilevel"/>
    <w:tmpl w:val="2862B6B4"/>
    <w:lvl w:ilvl="0" w:tplc="A66AB62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C653465"/>
    <w:multiLevelType w:val="hybridMultilevel"/>
    <w:tmpl w:val="638EC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6"/>
  </w:num>
  <w:num w:numId="3">
    <w:abstractNumId w:val="5"/>
  </w:num>
  <w:num w:numId="4">
    <w:abstractNumId w:val="15"/>
  </w:num>
  <w:num w:numId="5">
    <w:abstractNumId w:val="18"/>
  </w:num>
  <w:num w:numId="6">
    <w:abstractNumId w:val="6"/>
  </w:num>
  <w:num w:numId="7">
    <w:abstractNumId w:val="9"/>
  </w:num>
  <w:num w:numId="8">
    <w:abstractNumId w:val="4"/>
  </w:num>
  <w:num w:numId="9">
    <w:abstractNumId w:val="1"/>
  </w:num>
  <w:num w:numId="10">
    <w:abstractNumId w:val="8"/>
  </w:num>
  <w:num w:numId="11">
    <w:abstractNumId w:val="11"/>
  </w:num>
  <w:num w:numId="12">
    <w:abstractNumId w:val="14"/>
  </w:num>
  <w:num w:numId="13">
    <w:abstractNumId w:val="2"/>
  </w:num>
  <w:num w:numId="14">
    <w:abstractNumId w:val="3"/>
  </w:num>
  <w:num w:numId="15">
    <w:abstractNumId w:val="10"/>
  </w:num>
  <w:num w:numId="16">
    <w:abstractNumId w:val="7"/>
  </w:num>
  <w:num w:numId="17">
    <w:abstractNumId w:val="13"/>
  </w:num>
  <w:num w:numId="18">
    <w:abstractNumId w:val="19"/>
  </w:num>
  <w:num w:numId="19">
    <w:abstractNumId w:val="17"/>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D3F"/>
    <w:rsid w:val="000012A1"/>
    <w:rsid w:val="0001365A"/>
    <w:rsid w:val="00013D1B"/>
    <w:rsid w:val="0003002B"/>
    <w:rsid w:val="00047561"/>
    <w:rsid w:val="00054C23"/>
    <w:rsid w:val="000C72A1"/>
    <w:rsid w:val="000C78C5"/>
    <w:rsid w:val="000D0ABF"/>
    <w:rsid w:val="000D24AD"/>
    <w:rsid w:val="000E10CB"/>
    <w:rsid w:val="0010101D"/>
    <w:rsid w:val="00111BB7"/>
    <w:rsid w:val="00113969"/>
    <w:rsid w:val="001167AB"/>
    <w:rsid w:val="00117E66"/>
    <w:rsid w:val="00137F5D"/>
    <w:rsid w:val="001465DC"/>
    <w:rsid w:val="00154724"/>
    <w:rsid w:val="001661FB"/>
    <w:rsid w:val="0017110C"/>
    <w:rsid w:val="00173355"/>
    <w:rsid w:val="00180DBB"/>
    <w:rsid w:val="001A5F46"/>
    <w:rsid w:val="001B389C"/>
    <w:rsid w:val="001C03ED"/>
    <w:rsid w:val="001C33CB"/>
    <w:rsid w:val="001D0CE3"/>
    <w:rsid w:val="001E19BD"/>
    <w:rsid w:val="001E25C8"/>
    <w:rsid w:val="001F404E"/>
    <w:rsid w:val="00205B73"/>
    <w:rsid w:val="00230F5C"/>
    <w:rsid w:val="00231328"/>
    <w:rsid w:val="00231ADB"/>
    <w:rsid w:val="002346A7"/>
    <w:rsid w:val="00237C79"/>
    <w:rsid w:val="00240025"/>
    <w:rsid w:val="00240CB3"/>
    <w:rsid w:val="00244F18"/>
    <w:rsid w:val="00283C5C"/>
    <w:rsid w:val="00286385"/>
    <w:rsid w:val="002A7C76"/>
    <w:rsid w:val="002B4D9F"/>
    <w:rsid w:val="002B6722"/>
    <w:rsid w:val="002E30E4"/>
    <w:rsid w:val="002E63C9"/>
    <w:rsid w:val="002F593A"/>
    <w:rsid w:val="002F6ADD"/>
    <w:rsid w:val="00300E2E"/>
    <w:rsid w:val="00301418"/>
    <w:rsid w:val="003019DB"/>
    <w:rsid w:val="00302B39"/>
    <w:rsid w:val="00315D5A"/>
    <w:rsid w:val="00323E60"/>
    <w:rsid w:val="003244D2"/>
    <w:rsid w:val="00327135"/>
    <w:rsid w:val="00335EA9"/>
    <w:rsid w:val="00337A76"/>
    <w:rsid w:val="003532C7"/>
    <w:rsid w:val="00361CCE"/>
    <w:rsid w:val="00364799"/>
    <w:rsid w:val="00385CFD"/>
    <w:rsid w:val="00397A84"/>
    <w:rsid w:val="003A0758"/>
    <w:rsid w:val="003B2624"/>
    <w:rsid w:val="003B4BAC"/>
    <w:rsid w:val="003B4E26"/>
    <w:rsid w:val="003C07C0"/>
    <w:rsid w:val="003E0328"/>
    <w:rsid w:val="003F1222"/>
    <w:rsid w:val="003F1547"/>
    <w:rsid w:val="00411782"/>
    <w:rsid w:val="004150F7"/>
    <w:rsid w:val="00416690"/>
    <w:rsid w:val="00420F14"/>
    <w:rsid w:val="004330B0"/>
    <w:rsid w:val="00433CB6"/>
    <w:rsid w:val="00434B4E"/>
    <w:rsid w:val="00456C0D"/>
    <w:rsid w:val="00470ED6"/>
    <w:rsid w:val="00496AA1"/>
    <w:rsid w:val="00497933"/>
    <w:rsid w:val="004D09C7"/>
    <w:rsid w:val="004D180F"/>
    <w:rsid w:val="004F3DEF"/>
    <w:rsid w:val="00506864"/>
    <w:rsid w:val="005204C5"/>
    <w:rsid w:val="00523BB0"/>
    <w:rsid w:val="0054308C"/>
    <w:rsid w:val="0054538C"/>
    <w:rsid w:val="00545B15"/>
    <w:rsid w:val="005613DF"/>
    <w:rsid w:val="00567ED4"/>
    <w:rsid w:val="005737F6"/>
    <w:rsid w:val="00582B7B"/>
    <w:rsid w:val="00582E97"/>
    <w:rsid w:val="005873CF"/>
    <w:rsid w:val="005950D1"/>
    <w:rsid w:val="005A1319"/>
    <w:rsid w:val="005D1F70"/>
    <w:rsid w:val="005D2281"/>
    <w:rsid w:val="005D3F48"/>
    <w:rsid w:val="005F3287"/>
    <w:rsid w:val="0060730E"/>
    <w:rsid w:val="00611293"/>
    <w:rsid w:val="00627554"/>
    <w:rsid w:val="0064217C"/>
    <w:rsid w:val="0064313E"/>
    <w:rsid w:val="00654E4C"/>
    <w:rsid w:val="006608D3"/>
    <w:rsid w:val="0067323F"/>
    <w:rsid w:val="006826FC"/>
    <w:rsid w:val="006A5452"/>
    <w:rsid w:val="006D30A2"/>
    <w:rsid w:val="006D62E8"/>
    <w:rsid w:val="006E3BF0"/>
    <w:rsid w:val="006E41C0"/>
    <w:rsid w:val="006F08CB"/>
    <w:rsid w:val="006F5072"/>
    <w:rsid w:val="00702404"/>
    <w:rsid w:val="00702FC2"/>
    <w:rsid w:val="007131F9"/>
    <w:rsid w:val="0072211C"/>
    <w:rsid w:val="00724DF6"/>
    <w:rsid w:val="0073096D"/>
    <w:rsid w:val="00736E4B"/>
    <w:rsid w:val="007678C1"/>
    <w:rsid w:val="00785F2B"/>
    <w:rsid w:val="00794CCE"/>
    <w:rsid w:val="007A1F05"/>
    <w:rsid w:val="007C767F"/>
    <w:rsid w:val="00802D44"/>
    <w:rsid w:val="00832D37"/>
    <w:rsid w:val="0084478B"/>
    <w:rsid w:val="0088233B"/>
    <w:rsid w:val="008A179F"/>
    <w:rsid w:val="008B15BE"/>
    <w:rsid w:val="008B17BA"/>
    <w:rsid w:val="008B3EBB"/>
    <w:rsid w:val="008D2B93"/>
    <w:rsid w:val="008E2C22"/>
    <w:rsid w:val="008E7559"/>
    <w:rsid w:val="008F0B15"/>
    <w:rsid w:val="009061EE"/>
    <w:rsid w:val="0092068A"/>
    <w:rsid w:val="00924873"/>
    <w:rsid w:val="00951C14"/>
    <w:rsid w:val="0095726F"/>
    <w:rsid w:val="0096140A"/>
    <w:rsid w:val="00966808"/>
    <w:rsid w:val="00976413"/>
    <w:rsid w:val="00980256"/>
    <w:rsid w:val="00990C56"/>
    <w:rsid w:val="009A6177"/>
    <w:rsid w:val="009A6C09"/>
    <w:rsid w:val="009B240E"/>
    <w:rsid w:val="009B702E"/>
    <w:rsid w:val="009D04CD"/>
    <w:rsid w:val="009E65A0"/>
    <w:rsid w:val="009E7E65"/>
    <w:rsid w:val="009F52BD"/>
    <w:rsid w:val="009F7096"/>
    <w:rsid w:val="00A074AF"/>
    <w:rsid w:val="00A136F7"/>
    <w:rsid w:val="00A17364"/>
    <w:rsid w:val="00A212D9"/>
    <w:rsid w:val="00A2735C"/>
    <w:rsid w:val="00A30697"/>
    <w:rsid w:val="00A41B39"/>
    <w:rsid w:val="00A42B59"/>
    <w:rsid w:val="00A5751C"/>
    <w:rsid w:val="00A62810"/>
    <w:rsid w:val="00A66888"/>
    <w:rsid w:val="00A822D0"/>
    <w:rsid w:val="00A9704E"/>
    <w:rsid w:val="00AB5095"/>
    <w:rsid w:val="00AC0556"/>
    <w:rsid w:val="00AC2CF4"/>
    <w:rsid w:val="00AF4FF5"/>
    <w:rsid w:val="00AF62C1"/>
    <w:rsid w:val="00B05744"/>
    <w:rsid w:val="00B10B4D"/>
    <w:rsid w:val="00B40197"/>
    <w:rsid w:val="00B40924"/>
    <w:rsid w:val="00B54B0C"/>
    <w:rsid w:val="00B62EB8"/>
    <w:rsid w:val="00B64AFC"/>
    <w:rsid w:val="00B66860"/>
    <w:rsid w:val="00B74657"/>
    <w:rsid w:val="00B75070"/>
    <w:rsid w:val="00B75701"/>
    <w:rsid w:val="00B86686"/>
    <w:rsid w:val="00B959E9"/>
    <w:rsid w:val="00B962F2"/>
    <w:rsid w:val="00B975B0"/>
    <w:rsid w:val="00BA04DB"/>
    <w:rsid w:val="00BA3162"/>
    <w:rsid w:val="00BA73B1"/>
    <w:rsid w:val="00BD3B66"/>
    <w:rsid w:val="00BD62F5"/>
    <w:rsid w:val="00C02FA8"/>
    <w:rsid w:val="00C07431"/>
    <w:rsid w:val="00C243BA"/>
    <w:rsid w:val="00C25E2C"/>
    <w:rsid w:val="00C27F15"/>
    <w:rsid w:val="00C322C4"/>
    <w:rsid w:val="00C34FB1"/>
    <w:rsid w:val="00C37B80"/>
    <w:rsid w:val="00C538D1"/>
    <w:rsid w:val="00C53CAC"/>
    <w:rsid w:val="00C578AE"/>
    <w:rsid w:val="00C75F7D"/>
    <w:rsid w:val="00CA10D1"/>
    <w:rsid w:val="00CA643C"/>
    <w:rsid w:val="00CB6C61"/>
    <w:rsid w:val="00CC5117"/>
    <w:rsid w:val="00CE22DC"/>
    <w:rsid w:val="00CF2369"/>
    <w:rsid w:val="00CF6516"/>
    <w:rsid w:val="00D02F09"/>
    <w:rsid w:val="00D0664A"/>
    <w:rsid w:val="00D067F8"/>
    <w:rsid w:val="00D26ACD"/>
    <w:rsid w:val="00D2720F"/>
    <w:rsid w:val="00D43AEA"/>
    <w:rsid w:val="00D47BDC"/>
    <w:rsid w:val="00D641DA"/>
    <w:rsid w:val="00D7114B"/>
    <w:rsid w:val="00D766B1"/>
    <w:rsid w:val="00D80CBC"/>
    <w:rsid w:val="00D96CA5"/>
    <w:rsid w:val="00DE3E2A"/>
    <w:rsid w:val="00DF20E5"/>
    <w:rsid w:val="00DF5190"/>
    <w:rsid w:val="00E013DA"/>
    <w:rsid w:val="00E031BB"/>
    <w:rsid w:val="00E040ED"/>
    <w:rsid w:val="00E0719E"/>
    <w:rsid w:val="00E1525D"/>
    <w:rsid w:val="00E25B55"/>
    <w:rsid w:val="00E31B32"/>
    <w:rsid w:val="00E41DB9"/>
    <w:rsid w:val="00E45A1B"/>
    <w:rsid w:val="00E46419"/>
    <w:rsid w:val="00E550B4"/>
    <w:rsid w:val="00E60CFF"/>
    <w:rsid w:val="00E64735"/>
    <w:rsid w:val="00EB225B"/>
    <w:rsid w:val="00EB2550"/>
    <w:rsid w:val="00EB3E54"/>
    <w:rsid w:val="00EC0AE0"/>
    <w:rsid w:val="00EC14D2"/>
    <w:rsid w:val="00EC1A7E"/>
    <w:rsid w:val="00EC7C9E"/>
    <w:rsid w:val="00ED1855"/>
    <w:rsid w:val="00EF009D"/>
    <w:rsid w:val="00EF6E38"/>
    <w:rsid w:val="00F0141B"/>
    <w:rsid w:val="00F32C37"/>
    <w:rsid w:val="00F3524A"/>
    <w:rsid w:val="00F53384"/>
    <w:rsid w:val="00F66F84"/>
    <w:rsid w:val="00F72725"/>
    <w:rsid w:val="00F73E28"/>
    <w:rsid w:val="00F804E8"/>
    <w:rsid w:val="00F8716F"/>
    <w:rsid w:val="00F95A23"/>
    <w:rsid w:val="00FB7D3F"/>
    <w:rsid w:val="00FD30CC"/>
    <w:rsid w:val="00FD74EE"/>
    <w:rsid w:val="00FF5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B1"/>
    <w:pPr>
      <w:spacing w:after="200" w:line="276" w:lineRule="auto"/>
    </w:pPr>
    <w:rPr>
      <w:lang w:eastAsia="en-US"/>
    </w:rPr>
  </w:style>
  <w:style w:type="paragraph" w:styleId="Heading1">
    <w:name w:val="heading 1"/>
    <w:basedOn w:val="Normal"/>
    <w:next w:val="Normal"/>
    <w:link w:val="Heading1Char"/>
    <w:uiPriority w:val="99"/>
    <w:qFormat/>
    <w:rsid w:val="00FB7D3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D3F"/>
    <w:rPr>
      <w:rFonts w:ascii="Cambria" w:hAnsi="Cambria" w:cs="Times New Roman"/>
      <w:b/>
      <w:bCs/>
      <w:color w:val="365F91"/>
      <w:sz w:val="28"/>
      <w:szCs w:val="28"/>
    </w:rPr>
  </w:style>
  <w:style w:type="paragraph" w:styleId="FootnoteText">
    <w:name w:val="footnote text"/>
    <w:basedOn w:val="Normal"/>
    <w:link w:val="FootnoteTextChar"/>
    <w:uiPriority w:val="99"/>
    <w:rsid w:val="00FB7D3F"/>
    <w:pPr>
      <w:spacing w:after="0" w:line="240" w:lineRule="auto"/>
    </w:pPr>
    <w:rPr>
      <w:rFonts w:ascii="Times New Roman" w:eastAsia="Times New Roman" w:hAnsi="Times New Roman"/>
      <w:color w:val="000000"/>
      <w:kern w:val="28"/>
      <w:sz w:val="20"/>
      <w:szCs w:val="20"/>
      <w:lang w:eastAsia="ru-RU"/>
    </w:rPr>
  </w:style>
  <w:style w:type="character" w:customStyle="1" w:styleId="FootnoteTextChar">
    <w:name w:val="Footnote Text Char"/>
    <w:basedOn w:val="DefaultParagraphFont"/>
    <w:link w:val="FootnoteText"/>
    <w:uiPriority w:val="99"/>
    <w:locked/>
    <w:rsid w:val="00FB7D3F"/>
    <w:rPr>
      <w:rFonts w:ascii="Times New Roman" w:hAnsi="Times New Roman" w:cs="Times New Roman"/>
      <w:color w:val="000000"/>
      <w:kern w:val="28"/>
      <w:sz w:val="20"/>
      <w:szCs w:val="20"/>
      <w:lang w:eastAsia="ru-RU"/>
    </w:rPr>
  </w:style>
  <w:style w:type="character" w:styleId="FootnoteReference">
    <w:name w:val="footnote reference"/>
    <w:basedOn w:val="DefaultParagraphFont"/>
    <w:uiPriority w:val="99"/>
    <w:rsid w:val="00FB7D3F"/>
    <w:rPr>
      <w:rFonts w:cs="Times New Roman"/>
      <w:vertAlign w:val="superscript"/>
    </w:rPr>
  </w:style>
  <w:style w:type="character" w:styleId="PlaceholderText">
    <w:name w:val="Placeholder Text"/>
    <w:basedOn w:val="DefaultParagraphFont"/>
    <w:uiPriority w:val="99"/>
    <w:semiHidden/>
    <w:rsid w:val="00FB7D3F"/>
    <w:rPr>
      <w:rFonts w:cs="Times New Roman"/>
      <w:color w:val="808080"/>
    </w:rPr>
  </w:style>
  <w:style w:type="paragraph" w:styleId="ListParagraph">
    <w:name w:val="List Paragraph"/>
    <w:basedOn w:val="Normal"/>
    <w:uiPriority w:val="99"/>
    <w:qFormat/>
    <w:rsid w:val="00FB7D3F"/>
    <w:pPr>
      <w:ind w:left="720"/>
      <w:contextualSpacing/>
    </w:pPr>
  </w:style>
  <w:style w:type="paragraph" w:styleId="BalloonText">
    <w:name w:val="Balloon Text"/>
    <w:basedOn w:val="Normal"/>
    <w:link w:val="BalloonTextChar"/>
    <w:uiPriority w:val="99"/>
    <w:semiHidden/>
    <w:rsid w:val="00FB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D3F"/>
    <w:rPr>
      <w:rFonts w:ascii="Tahoma" w:hAnsi="Tahoma" w:cs="Tahoma"/>
      <w:sz w:val="16"/>
      <w:szCs w:val="16"/>
    </w:rPr>
  </w:style>
  <w:style w:type="paragraph" w:styleId="Header">
    <w:name w:val="header"/>
    <w:basedOn w:val="Normal"/>
    <w:link w:val="HeaderChar"/>
    <w:uiPriority w:val="99"/>
    <w:rsid w:val="009614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140A"/>
    <w:rPr>
      <w:rFonts w:ascii="Calibri" w:eastAsia="Times New Roman" w:hAnsi="Calibri" w:cs="Times New Roman"/>
    </w:rPr>
  </w:style>
  <w:style w:type="paragraph" w:styleId="Footer">
    <w:name w:val="footer"/>
    <w:basedOn w:val="Normal"/>
    <w:link w:val="FooterChar"/>
    <w:uiPriority w:val="99"/>
    <w:rsid w:val="009614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40A"/>
    <w:rPr>
      <w:rFonts w:ascii="Calibri" w:eastAsia="Times New Roman" w:hAnsi="Calibri" w:cs="Times New Roman"/>
    </w:rPr>
  </w:style>
  <w:style w:type="paragraph" w:customStyle="1" w:styleId="FR2">
    <w:name w:val="FR2"/>
    <w:uiPriority w:val="99"/>
    <w:rsid w:val="0096140A"/>
    <w:pPr>
      <w:widowControl w:val="0"/>
      <w:autoSpaceDE w:val="0"/>
      <w:autoSpaceDN w:val="0"/>
      <w:adjustRightInd w:val="0"/>
      <w:spacing w:before="260"/>
      <w:ind w:left="3440"/>
    </w:pPr>
    <w:rPr>
      <w:rFonts w:ascii="Times New Roman" w:eastAsia="Times New Roman" w:hAnsi="Times New Roman"/>
      <w:sz w:val="32"/>
      <w:szCs w:val="20"/>
    </w:rPr>
  </w:style>
  <w:style w:type="paragraph" w:customStyle="1" w:styleId="FR1">
    <w:name w:val="FR1"/>
    <w:uiPriority w:val="99"/>
    <w:rsid w:val="0096140A"/>
    <w:pPr>
      <w:widowControl w:val="0"/>
      <w:jc w:val="center"/>
    </w:pPr>
    <w:rPr>
      <w:rFonts w:ascii="Times New Roman" w:eastAsia="Times New Roman" w:hAnsi="Times New Roman"/>
      <w:b/>
      <w:sz w:val="32"/>
      <w:szCs w:val="20"/>
    </w:rPr>
  </w:style>
  <w:style w:type="character" w:styleId="CommentReference">
    <w:name w:val="annotation reference"/>
    <w:basedOn w:val="DefaultParagraphFont"/>
    <w:uiPriority w:val="99"/>
    <w:semiHidden/>
    <w:rsid w:val="0096140A"/>
    <w:rPr>
      <w:rFonts w:cs="Times New Roman"/>
      <w:sz w:val="16"/>
    </w:rPr>
  </w:style>
  <w:style w:type="paragraph" w:styleId="CommentText">
    <w:name w:val="annotation text"/>
    <w:basedOn w:val="Normal"/>
    <w:link w:val="CommentTextChar"/>
    <w:uiPriority w:val="99"/>
    <w:semiHidden/>
    <w:rsid w:val="0096140A"/>
    <w:rPr>
      <w:sz w:val="20"/>
      <w:szCs w:val="20"/>
    </w:rPr>
  </w:style>
  <w:style w:type="character" w:customStyle="1" w:styleId="CommentTextChar">
    <w:name w:val="Comment Text Char"/>
    <w:basedOn w:val="DefaultParagraphFont"/>
    <w:link w:val="CommentText"/>
    <w:uiPriority w:val="99"/>
    <w:semiHidden/>
    <w:locked/>
    <w:rsid w:val="0096140A"/>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semiHidden/>
    <w:rsid w:val="0096140A"/>
    <w:rPr>
      <w:b/>
      <w:bCs/>
    </w:rPr>
  </w:style>
  <w:style w:type="character" w:customStyle="1" w:styleId="CommentSubjectChar">
    <w:name w:val="Comment Subject Char"/>
    <w:basedOn w:val="CommentTextChar"/>
    <w:link w:val="CommentSubject"/>
    <w:uiPriority w:val="99"/>
    <w:semiHidden/>
    <w:locked/>
    <w:rsid w:val="0096140A"/>
    <w:rPr>
      <w:b/>
      <w:bCs/>
    </w:rPr>
  </w:style>
  <w:style w:type="character" w:styleId="Hyperlink">
    <w:name w:val="Hyperlink"/>
    <w:basedOn w:val="DefaultParagraphFont"/>
    <w:uiPriority w:val="99"/>
    <w:rsid w:val="0096140A"/>
    <w:rPr>
      <w:rFonts w:cs="Times New Roman"/>
      <w:color w:val="0000FF"/>
      <w:u w:val="single"/>
    </w:rPr>
  </w:style>
  <w:style w:type="paragraph" w:styleId="EndnoteText">
    <w:name w:val="endnote text"/>
    <w:basedOn w:val="Normal"/>
    <w:link w:val="EndnoteTextChar"/>
    <w:uiPriority w:val="99"/>
    <w:semiHidden/>
    <w:rsid w:val="0096140A"/>
    <w:rPr>
      <w:sz w:val="20"/>
      <w:szCs w:val="20"/>
    </w:rPr>
  </w:style>
  <w:style w:type="character" w:customStyle="1" w:styleId="EndnoteTextChar">
    <w:name w:val="Endnote Text Char"/>
    <w:basedOn w:val="DefaultParagraphFont"/>
    <w:link w:val="EndnoteText"/>
    <w:uiPriority w:val="99"/>
    <w:semiHidden/>
    <w:locked/>
    <w:rsid w:val="0096140A"/>
    <w:rPr>
      <w:rFonts w:ascii="Calibri" w:eastAsia="Times New Roman" w:hAnsi="Calibri" w:cs="Times New Roman"/>
      <w:sz w:val="20"/>
      <w:szCs w:val="20"/>
      <w:lang/>
    </w:rPr>
  </w:style>
  <w:style w:type="character" w:styleId="EndnoteReference">
    <w:name w:val="endnote reference"/>
    <w:basedOn w:val="DefaultParagraphFont"/>
    <w:uiPriority w:val="99"/>
    <w:semiHidden/>
    <w:rsid w:val="0096140A"/>
    <w:rPr>
      <w:rFonts w:cs="Times New Roman"/>
      <w:vertAlign w:val="superscript"/>
    </w:rPr>
  </w:style>
  <w:style w:type="paragraph" w:customStyle="1" w:styleId="1">
    <w:name w:val="Абзац списка1"/>
    <w:basedOn w:val="Normal"/>
    <w:uiPriority w:val="99"/>
    <w:rsid w:val="0096140A"/>
    <w:pPr>
      <w:spacing w:after="0" w:line="240" w:lineRule="auto"/>
      <w:ind w:left="720"/>
      <w:contextualSpacing/>
      <w:jc w:val="both"/>
    </w:pPr>
    <w:rPr>
      <w:rFonts w:ascii="Times New Roman" w:hAnsi="Times New Roman"/>
      <w:sz w:val="26"/>
      <w:szCs w:val="26"/>
      <w:lang w:eastAsia="ru-RU"/>
    </w:rPr>
  </w:style>
  <w:style w:type="paragraph" w:styleId="Revision">
    <w:name w:val="Revision"/>
    <w:hidden/>
    <w:uiPriority w:val="99"/>
    <w:semiHidden/>
    <w:rsid w:val="0096140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ek.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4843</Words>
  <Characters>27607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Марина Истомина</dc:creator>
  <cp:keywords/>
  <dc:description/>
  <cp:lastModifiedBy>admin</cp:lastModifiedBy>
  <cp:revision>2</cp:revision>
  <dcterms:created xsi:type="dcterms:W3CDTF">2023-08-24T12:14:00Z</dcterms:created>
  <dcterms:modified xsi:type="dcterms:W3CDTF">2023-08-24T12:14:00Z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iderPost">
    <vt:lpwstr>Ректор</vt:lpwstr>
  </property>
  <property fmtid="{D5CDD505-2E9C-101B-9397-08002B2CF9AE}" pid="3" name="serviceNoteAuthor">
    <vt:lpwstr>Радаев В.В.</vt:lpwstr>
  </property>
  <property fmtid="{D5CDD505-2E9C-101B-9397-08002B2CF9AE}" pid="4" name="signerIof">
    <vt:lpwstr>Я.И. Кузьминов</vt:lpwstr>
  </property>
  <property fmtid="{D5CDD505-2E9C-101B-9397-08002B2CF9AE}" pid="5" name="creatorDepartment">
    <vt:lpwstr>Национальный исследовател</vt:lpwstr>
  </property>
  <property fmtid="{D5CDD505-2E9C-101B-9397-08002B2CF9AE}" pid="6" name="documentType">
    <vt:lpwstr>По основной деятельности</vt:lpwstr>
  </property>
  <property fmtid="{D5CDD505-2E9C-101B-9397-08002B2CF9AE}" pid="7" name="stateValue">
    <vt:lpwstr>На доработке</vt:lpwstr>
  </property>
  <property fmtid="{D5CDD505-2E9C-101B-9397-08002B2CF9AE}" pid="8" name="regDate">
    <vt:lpwstr>25.02.2021</vt:lpwstr>
  </property>
  <property fmtid="{D5CDD505-2E9C-101B-9397-08002B2CF9AE}" pid="9" name="docTitle">
    <vt:lpwstr>Приказ</vt:lpwstr>
  </property>
  <property fmtid="{D5CDD505-2E9C-101B-9397-08002B2CF9AE}" pid="10" name="signerLabel">
    <vt:lpwstr> Ректор Кузьминов Я.И.</vt:lpwstr>
  </property>
  <property fmtid="{D5CDD505-2E9C-101B-9397-08002B2CF9AE}" pid="11" name="creatorPost">
    <vt:lpwstr>Заместитель первого проректора</vt:lpwstr>
  </property>
  <property fmtid="{D5CDD505-2E9C-101B-9397-08002B2CF9AE}" pid="12" name="regInfo">
    <vt:lpwstr>рег.№6.18.1-27/4948 от 25.02.2021</vt:lpwstr>
  </property>
  <property fmtid="{D5CDD505-2E9C-101B-9397-08002B2CF9AE}" pid="13" name="signerName">
    <vt:lpwstr>Кузьминов Я.И.</vt:lpwstr>
  </property>
  <property fmtid="{D5CDD505-2E9C-101B-9397-08002B2CF9AE}" pid="14" name="signerNameAndPostName">
    <vt:lpwstr>Кузьминов Я.И., Ректор</vt:lpwstr>
  </property>
  <property fmtid="{D5CDD505-2E9C-101B-9397-08002B2CF9AE}" pid="15" name="timeToExamine">
    <vt:lpwstr>16</vt:lpwstr>
  </property>
  <property fmtid="{D5CDD505-2E9C-101B-9397-08002B2CF9AE}" pid="16" name="docStatus">
    <vt:lpwstr>NOT_CONTROLLED</vt:lpwstr>
  </property>
  <property fmtid="{D5CDD505-2E9C-101B-9397-08002B2CF9AE}" pid="17" name="signerExtraDelegates">
    <vt:lpwstr> Референт</vt:lpwstr>
  </property>
  <property fmtid="{D5CDD505-2E9C-101B-9397-08002B2CF9AE}" pid="18" name="regNum">
    <vt:lpwstr>6.18.1-27/4948</vt:lpwstr>
  </property>
  <property fmtid="{D5CDD505-2E9C-101B-9397-08002B2CF9AE}" pid="19" name="consider">
    <vt:lpwstr> Ректор Кузьминов Я.И.</vt:lpwstr>
  </property>
  <property fmtid="{D5CDD505-2E9C-101B-9397-08002B2CF9AE}" pid="20" name="considerName">
    <vt:lpwstr>Кузьминов Я.И.</vt:lpwstr>
  </property>
  <property fmtid="{D5CDD505-2E9C-101B-9397-08002B2CF9AE}" pid="21" name="signerDelegates">
    <vt:lpwstr>Кузьминов Я.И. помощники (групповая);</vt:lpwstr>
  </property>
  <property fmtid="{D5CDD505-2E9C-101B-9397-08002B2CF9AE}" pid="22" name="creator">
    <vt:lpwstr>Артюхова Е.А.</vt:lpwstr>
  </property>
  <property fmtid="{D5CDD505-2E9C-101B-9397-08002B2CF9AE}" pid="23" name="considerDepartment">
    <vt:lpwstr>Национальный исследовател</vt:lpwstr>
  </property>
  <property fmtid="{D5CDD505-2E9C-101B-9397-08002B2CF9AE}" pid="24" name="considerIof">
    <vt:lpwstr>Я.И. Кузьминов</vt:lpwstr>
  </property>
  <property fmtid="{D5CDD505-2E9C-101B-9397-08002B2CF9AE}" pid="25" name="regnumProj">
    <vt:lpwstr>М 2021/3/5-429</vt:lpwstr>
  </property>
  <property fmtid="{D5CDD505-2E9C-101B-9397-08002B2CF9AE}" pid="26" name="documentContent">
    <vt:lpwstr>О введении в действие Концепции реализации единого контракта научно-педагогического работника Национального исследовательского университета «Высшая школа экономики»</vt:lpwstr>
  </property>
  <property fmtid="{D5CDD505-2E9C-101B-9397-08002B2CF9AE}" pid="27" name="serviceNoteAuthorPost">
    <vt:lpwstr>Первый проректор</vt:lpwstr>
  </property>
  <property fmtid="{D5CDD505-2E9C-101B-9397-08002B2CF9AE}" pid="28" name="signerPost">
    <vt:lpwstr>Ректор</vt:lpwstr>
  </property>
  <property fmtid="{D5CDD505-2E9C-101B-9397-08002B2CF9AE}" pid="29" name="documentSubtype">
    <vt:lpwstr>Об утверждении и введении в действие локальных актов</vt:lpwstr>
  </property>
  <property fmtid="{D5CDD505-2E9C-101B-9397-08002B2CF9AE}" pid="30" name="mainDocSheetsCount">
    <vt:lpwstr>1</vt:lpwstr>
  </property>
  <property fmtid="{D5CDD505-2E9C-101B-9397-08002B2CF9AE}" pid="31" name="controlLabel">
    <vt:lpwstr>не осуществляется</vt:lpwstr>
  </property>
  <property fmtid="{D5CDD505-2E9C-101B-9397-08002B2CF9AE}" pid="32" name="accessLevel">
    <vt:lpwstr>Ограниченный</vt:lpwstr>
  </property>
  <property fmtid="{D5CDD505-2E9C-101B-9397-08002B2CF9AE}" pid="33" name="actuality">
    <vt:lpwstr>Проект</vt:lpwstr>
  </property>
</Properties>
</file>